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1101"/>
        <w:gridCol w:w="8475"/>
      </w:tblGrid>
      <w:tr w:rsidR="00996DA2" w:rsidTr="00996DA2">
        <w:tc>
          <w:tcPr>
            <w:tcW w:w="1101" w:type="dxa"/>
          </w:tcPr>
          <w:p w:rsidR="00996DA2" w:rsidRPr="00996DA2" w:rsidRDefault="00996DA2" w:rsidP="00996DA2">
            <w:pPr>
              <w:rPr>
                <w:b/>
                <w:noProof/>
              </w:rPr>
            </w:pPr>
            <w:r w:rsidRPr="00996DA2">
              <w:rPr>
                <w:b/>
                <w:noProof/>
              </w:rPr>
              <w:t>Action items</w:t>
            </w:r>
          </w:p>
        </w:tc>
        <w:tc>
          <w:tcPr>
            <w:tcW w:w="8475" w:type="dxa"/>
          </w:tcPr>
          <w:p w:rsidR="00996DA2" w:rsidRDefault="00996DA2" w:rsidP="00996DA2">
            <w:pPr>
              <w:rPr>
                <w:noProof/>
              </w:rPr>
            </w:pPr>
            <w:r w:rsidRPr="00307F78">
              <w:rPr>
                <w:rFonts w:eastAsia="Calibri"/>
                <w:lang w:val="en-US"/>
              </w:rPr>
              <w:t>1) Include Background section addressing the context of the heme synthesis pathway and other relevant pathways/modulators.</w:t>
            </w:r>
          </w:p>
        </w:tc>
      </w:tr>
      <w:tr w:rsidR="00996DA2" w:rsidTr="00996DA2">
        <w:tc>
          <w:tcPr>
            <w:tcW w:w="1101" w:type="dxa"/>
          </w:tcPr>
          <w:p w:rsidR="00996DA2" w:rsidRPr="00996DA2" w:rsidRDefault="00996DA2" w:rsidP="00996DA2">
            <w:pPr>
              <w:rPr>
                <w:b/>
                <w:noProof/>
              </w:rPr>
            </w:pPr>
            <w:r w:rsidRPr="00996DA2">
              <w:rPr>
                <w:b/>
                <w:noProof/>
              </w:rPr>
              <w:t>Intended changes</w:t>
            </w:r>
          </w:p>
        </w:tc>
        <w:tc>
          <w:tcPr>
            <w:tcW w:w="8475" w:type="dxa"/>
          </w:tcPr>
          <w:p w:rsidR="00996DA2" w:rsidRPr="00996DA2" w:rsidRDefault="00996DA2" w:rsidP="00996DA2">
            <w:pPr>
              <w:numPr>
                <w:ilvl w:val="0"/>
                <w:numId w:val="1"/>
              </w:numPr>
              <w:tabs>
                <w:tab w:val="clear" w:pos="850"/>
                <w:tab w:val="clear" w:pos="1191"/>
                <w:tab w:val="clear" w:pos="1531"/>
              </w:tabs>
              <w:contextualSpacing/>
              <w:jc w:val="left"/>
              <w:rPr>
                <w:rFonts w:eastAsia="Calibri"/>
                <w:lang w:val="en-US"/>
              </w:rPr>
            </w:pPr>
            <w:r w:rsidRPr="00996DA2">
              <w:rPr>
                <w:rFonts w:eastAsia="Calibri"/>
                <w:lang w:val="en-US"/>
              </w:rPr>
              <w:t>Add more context to background by describing where UROD lies within the heme biosynthesis pathway (similar to KE369 page)</w:t>
            </w:r>
          </w:p>
          <w:p w:rsidR="00996DA2" w:rsidRDefault="00996DA2" w:rsidP="00996DA2">
            <w:pPr>
              <w:pStyle w:val="Paragraphedeliste"/>
              <w:numPr>
                <w:ilvl w:val="0"/>
                <w:numId w:val="1"/>
              </w:numPr>
              <w:rPr>
                <w:noProof/>
              </w:rPr>
            </w:pPr>
            <w:r w:rsidRPr="00996DA2">
              <w:rPr>
                <w:rFonts w:eastAsia="Calibri"/>
                <w:lang w:val="en-US"/>
              </w:rPr>
              <w:t>Consider using wording from comment # 4 in Annex 2 (clinical vs. toxicological view)</w:t>
            </w:r>
          </w:p>
        </w:tc>
      </w:tr>
      <w:tr w:rsidR="00996DA2" w:rsidTr="00996DA2">
        <w:tc>
          <w:tcPr>
            <w:tcW w:w="1101" w:type="dxa"/>
          </w:tcPr>
          <w:p w:rsidR="00996DA2" w:rsidRPr="00996DA2" w:rsidRDefault="00996DA2" w:rsidP="00996DA2">
            <w:pPr>
              <w:spacing w:line="360" w:lineRule="auto"/>
              <w:rPr>
                <w:b/>
                <w:noProof/>
              </w:rPr>
            </w:pPr>
            <w:r w:rsidRPr="00996DA2">
              <w:rPr>
                <w:b/>
                <w:noProof/>
              </w:rPr>
              <w:t>Changes</w:t>
            </w:r>
          </w:p>
        </w:tc>
        <w:tc>
          <w:tcPr>
            <w:tcW w:w="8475" w:type="dxa"/>
          </w:tcPr>
          <w:p w:rsidR="00996DA2" w:rsidRDefault="00996DA2" w:rsidP="00230D7B">
            <w:pPr>
              <w:spacing w:line="360" w:lineRule="auto"/>
              <w:rPr>
                <w:noProof/>
              </w:rPr>
            </w:pPr>
            <w:r>
              <w:rPr>
                <w:noProof/>
              </w:rPr>
              <w:t xml:space="preserve">Background section added. </w:t>
            </w:r>
            <w:r w:rsidR="00230D7B">
              <w:rPr>
                <w:noProof/>
              </w:rPr>
              <w:t>See text 1.1</w:t>
            </w:r>
            <w:r>
              <w:rPr>
                <w:noProof/>
              </w:rPr>
              <w:t xml:space="preserve">. </w:t>
            </w:r>
          </w:p>
        </w:tc>
      </w:tr>
    </w:tbl>
    <w:p w:rsidR="00996DA2" w:rsidRPr="00926D82" w:rsidRDefault="00996DA2" w:rsidP="00926D82">
      <w:pPr>
        <w:spacing w:line="360" w:lineRule="auto"/>
        <w:rPr>
          <w:noProof/>
          <w:szCs w:val="22"/>
        </w:rPr>
      </w:pPr>
    </w:p>
    <w:p w:rsidR="00230D7B" w:rsidRPr="00230D7B" w:rsidRDefault="00230D7B" w:rsidP="00926D82">
      <w:pPr>
        <w:pStyle w:val="NormalWeb"/>
        <w:jc w:val="both"/>
        <w:rPr>
          <w:b/>
          <w:sz w:val="22"/>
          <w:szCs w:val="22"/>
        </w:rPr>
      </w:pPr>
      <w:r w:rsidRPr="00230D7B">
        <w:rPr>
          <w:b/>
          <w:sz w:val="22"/>
          <w:szCs w:val="22"/>
        </w:rPr>
        <w:t>Text 1.1</w:t>
      </w:r>
      <w:r>
        <w:rPr>
          <w:b/>
          <w:sz w:val="22"/>
          <w:szCs w:val="22"/>
        </w:rPr>
        <w:t xml:space="preserve"> Background section</w:t>
      </w:r>
    </w:p>
    <w:p w:rsidR="00926D82" w:rsidRPr="00926D82" w:rsidRDefault="00926D82" w:rsidP="00926D82">
      <w:pPr>
        <w:pStyle w:val="NormalWeb"/>
        <w:jc w:val="both"/>
        <w:rPr>
          <w:sz w:val="22"/>
          <w:szCs w:val="22"/>
        </w:rPr>
      </w:pPr>
      <w:proofErr w:type="spellStart"/>
      <w:r w:rsidRPr="00926D82">
        <w:rPr>
          <w:sz w:val="22"/>
          <w:szCs w:val="22"/>
        </w:rPr>
        <w:t>Heme</w:t>
      </w:r>
      <w:proofErr w:type="spellEnd"/>
      <w:r w:rsidRPr="00926D82">
        <w:rPr>
          <w:sz w:val="22"/>
          <w:szCs w:val="22"/>
        </w:rPr>
        <w:t xml:space="preserve"> is a cyclic </w:t>
      </w:r>
      <w:proofErr w:type="spellStart"/>
      <w:r w:rsidRPr="00926D82">
        <w:rPr>
          <w:sz w:val="22"/>
          <w:szCs w:val="22"/>
        </w:rPr>
        <w:t>tetrapyrrole</w:t>
      </w:r>
      <w:proofErr w:type="spellEnd"/>
      <w:r w:rsidRPr="00926D82">
        <w:rPr>
          <w:sz w:val="22"/>
          <w:szCs w:val="22"/>
        </w:rPr>
        <w:t xml:space="preserve"> cofactor containing Fe</w:t>
      </w:r>
      <w:r w:rsidRPr="00926D82">
        <w:rPr>
          <w:sz w:val="22"/>
          <w:szCs w:val="22"/>
          <w:vertAlign w:val="superscript"/>
        </w:rPr>
        <w:t>2+</w:t>
      </w:r>
      <w:r w:rsidRPr="00926D82">
        <w:rPr>
          <w:sz w:val="22"/>
          <w:szCs w:val="22"/>
        </w:rPr>
        <w:t xml:space="preserve"> porphyrin-containing </w:t>
      </w:r>
      <w:proofErr w:type="spellStart"/>
      <w:r w:rsidRPr="00926D82">
        <w:rPr>
          <w:sz w:val="22"/>
          <w:szCs w:val="22"/>
        </w:rPr>
        <w:t>ferroprotein</w:t>
      </w:r>
      <w:proofErr w:type="spellEnd"/>
      <w:r w:rsidRPr="00926D82">
        <w:rPr>
          <w:sz w:val="22"/>
          <w:szCs w:val="22"/>
        </w:rPr>
        <w:t xml:space="preserve"> that forms various hemoproteins such as hemoglobin, cytochromes and catalases </w:t>
      </w:r>
      <w:hyperlink w:anchor="cite_note-Thunell2000-4" w:history="1">
        <w:r w:rsidRPr="00926D82">
          <w:rPr>
            <w:rStyle w:val="Lienhypertexte"/>
            <w:sz w:val="22"/>
            <w:szCs w:val="22"/>
            <w:vertAlign w:val="superscript"/>
          </w:rPr>
          <w:t>[62]</w:t>
        </w:r>
      </w:hyperlink>
      <w:r w:rsidRPr="00926D82">
        <w:rPr>
          <w:sz w:val="22"/>
          <w:szCs w:val="22"/>
        </w:rPr>
        <w:t xml:space="preserve">. Its biosynthesis mostly occurs in the liver and involves 8 separate steps. Porphyria is a disorder in which the disturbance of any of the steps of </w:t>
      </w:r>
      <w:proofErr w:type="spellStart"/>
      <w:r w:rsidRPr="00926D82">
        <w:rPr>
          <w:sz w:val="22"/>
          <w:szCs w:val="22"/>
        </w:rPr>
        <w:t>heme</w:t>
      </w:r>
      <w:proofErr w:type="spellEnd"/>
      <w:r w:rsidRPr="00926D82">
        <w:rPr>
          <w:sz w:val="22"/>
          <w:szCs w:val="22"/>
        </w:rPr>
        <w:t xml:space="preserve"> biosynthesis results in accumulation and excretion of porphyrins</w:t>
      </w:r>
      <w:hyperlink r:id="rId6" w:anchor="cite_note-Kennedy1990-1" w:history="1">
        <w:r w:rsidRPr="00926D82">
          <w:rPr>
            <w:rStyle w:val="Lienhypertexte"/>
            <w:sz w:val="22"/>
            <w:szCs w:val="22"/>
            <w:vertAlign w:val="superscript"/>
          </w:rPr>
          <w:t>[2]</w:t>
        </w:r>
      </w:hyperlink>
      <w:r w:rsidRPr="00926D82">
        <w:rPr>
          <w:sz w:val="22"/>
          <w:szCs w:val="22"/>
        </w:rPr>
        <w:t xml:space="preserve">. A variety of </w:t>
      </w:r>
      <w:proofErr w:type="spellStart"/>
      <w:r w:rsidRPr="00926D82">
        <w:rPr>
          <w:sz w:val="22"/>
          <w:szCs w:val="22"/>
        </w:rPr>
        <w:t>porphyrias</w:t>
      </w:r>
      <w:proofErr w:type="spellEnd"/>
      <w:r w:rsidRPr="00926D82">
        <w:rPr>
          <w:sz w:val="22"/>
          <w:szCs w:val="22"/>
        </w:rPr>
        <w:t xml:space="preserve"> exist depending on which enzyme in the pathway is deficient. This AOP describes a situation in which the 5</w:t>
      </w:r>
      <w:r w:rsidRPr="00926D82">
        <w:rPr>
          <w:sz w:val="22"/>
          <w:szCs w:val="22"/>
          <w:vertAlign w:val="superscript"/>
        </w:rPr>
        <w:t>th</w:t>
      </w:r>
      <w:r w:rsidRPr="00926D82">
        <w:rPr>
          <w:sz w:val="22"/>
          <w:szCs w:val="22"/>
        </w:rPr>
        <w:t xml:space="preserve"> step of </w:t>
      </w:r>
      <w:proofErr w:type="spellStart"/>
      <w:r w:rsidRPr="00926D82">
        <w:rPr>
          <w:sz w:val="22"/>
          <w:szCs w:val="22"/>
        </w:rPr>
        <w:t>heme</w:t>
      </w:r>
      <w:proofErr w:type="spellEnd"/>
      <w:r w:rsidRPr="00926D82">
        <w:rPr>
          <w:sz w:val="22"/>
          <w:szCs w:val="22"/>
        </w:rPr>
        <w:t xml:space="preserve"> biosynthesis, uroporphyrinogen decarboxylase (UROD), which converts uroporphyrinogen to coproporphyrinogen, is inhibited.</w:t>
      </w:r>
    </w:p>
    <w:p w:rsidR="00926D82" w:rsidRPr="00926D82" w:rsidRDefault="00926D82" w:rsidP="00926D82">
      <w:pPr>
        <w:pStyle w:val="NormalWeb"/>
        <w:jc w:val="both"/>
        <w:rPr>
          <w:sz w:val="22"/>
          <w:szCs w:val="22"/>
        </w:rPr>
      </w:pPr>
      <w:r w:rsidRPr="00926D82">
        <w:rPr>
          <w:sz w:val="22"/>
          <w:szCs w:val="22"/>
        </w:rPr>
        <w:t xml:space="preserve">Hepatic </w:t>
      </w:r>
      <w:proofErr w:type="spellStart"/>
      <w:r w:rsidRPr="00926D82">
        <w:rPr>
          <w:sz w:val="22"/>
          <w:szCs w:val="22"/>
        </w:rPr>
        <w:t>uroporphyria</w:t>
      </w:r>
      <w:proofErr w:type="spellEnd"/>
      <w:r w:rsidRPr="00926D82">
        <w:rPr>
          <w:sz w:val="22"/>
          <w:szCs w:val="22"/>
        </w:rPr>
        <w:t xml:space="preserve"> is viewed somewhat differently by clinicians and toxicologists. </w:t>
      </w:r>
      <w:r w:rsidRPr="00926D82">
        <w:rPr>
          <w:rStyle w:val="lev"/>
          <w:sz w:val="22"/>
          <w:szCs w:val="22"/>
        </w:rPr>
        <w:t>For the former</w:t>
      </w:r>
      <w:r w:rsidRPr="00926D82">
        <w:rPr>
          <w:sz w:val="22"/>
          <w:szCs w:val="22"/>
        </w:rPr>
        <w:t xml:space="preserve"> it is mostly a sporadic disease (porphyria </w:t>
      </w:r>
      <w:proofErr w:type="spellStart"/>
      <w:r w:rsidRPr="00926D82">
        <w:rPr>
          <w:sz w:val="22"/>
          <w:szCs w:val="22"/>
        </w:rPr>
        <w:t>cutanea</w:t>
      </w:r>
      <w:proofErr w:type="spellEnd"/>
      <w:r w:rsidRPr="00926D82">
        <w:rPr>
          <w:sz w:val="22"/>
          <w:szCs w:val="22"/>
        </w:rPr>
        <w:t xml:space="preserve"> </w:t>
      </w:r>
      <w:proofErr w:type="spellStart"/>
      <w:r w:rsidRPr="00926D82">
        <w:rPr>
          <w:sz w:val="22"/>
          <w:szCs w:val="22"/>
        </w:rPr>
        <w:t>tarda</w:t>
      </w:r>
      <w:proofErr w:type="spellEnd"/>
      <w:r w:rsidRPr="00926D82">
        <w:rPr>
          <w:sz w:val="22"/>
          <w:szCs w:val="22"/>
        </w:rPr>
        <w:t xml:space="preserve">; PCT) occurring sometimes in patients exposed to a variety of insults such as alcohol, estrogens, hepatitis viruses, HIV and on dialysis. Importantly, very early on it was found that lowering body iron stores by bleeding or now chelators causes remission </w:t>
      </w:r>
      <w:hyperlink w:anchor="cite_note-Thunell2000-4" w:history="1">
        <w:r w:rsidRPr="00926D82">
          <w:rPr>
            <w:rStyle w:val="Lienhypertexte"/>
            <w:sz w:val="22"/>
            <w:szCs w:val="22"/>
            <w:vertAlign w:val="superscript"/>
          </w:rPr>
          <w:t>[61]</w:t>
        </w:r>
      </w:hyperlink>
      <w:r w:rsidRPr="00926D82">
        <w:rPr>
          <w:sz w:val="22"/>
          <w:szCs w:val="22"/>
        </w:rPr>
        <w:t xml:space="preserve">. In some northern European and US patients, carrying the hemochromatosis mutation is a risk factor but in other patients other iron susceptibility genes may contribute. Carrying a UROD mutation (lowering activity) is also a risk factor but still dependent on other susceptibility factors to see porphyria. To reproduce these findings experimentally has proved challenging but now possible. </w:t>
      </w:r>
      <w:r w:rsidRPr="00926D82">
        <w:rPr>
          <w:rStyle w:val="lev"/>
          <w:sz w:val="22"/>
          <w:szCs w:val="22"/>
        </w:rPr>
        <w:t>For toxicologists</w:t>
      </w:r>
      <w:r w:rsidRPr="00926D82">
        <w:rPr>
          <w:sz w:val="22"/>
          <w:szCs w:val="22"/>
        </w:rPr>
        <w:t xml:space="preserve"> hepatic </w:t>
      </w:r>
      <w:proofErr w:type="spellStart"/>
      <w:r w:rsidRPr="00926D82">
        <w:rPr>
          <w:sz w:val="22"/>
          <w:szCs w:val="22"/>
        </w:rPr>
        <w:t>uroporphyria</w:t>
      </w:r>
      <w:proofErr w:type="spellEnd"/>
      <w:r w:rsidRPr="00926D82">
        <w:rPr>
          <w:sz w:val="22"/>
          <w:szCs w:val="22"/>
        </w:rPr>
        <w:t xml:space="preserve"> has mostly been seen as a toxic, but unique and curious endpoint of polychlorinated ligands of the AHR.  Experimentally, TCDD in mice is the most potent agent consistent with AHR mode of action but is more difficult in rats and other organisms. </w:t>
      </w:r>
      <w:proofErr w:type="spellStart"/>
      <w:r w:rsidRPr="00926D82">
        <w:rPr>
          <w:sz w:val="22"/>
          <w:szCs w:val="22"/>
        </w:rPr>
        <w:t>Hexachlorobenzene</w:t>
      </w:r>
      <w:proofErr w:type="spellEnd"/>
      <w:r w:rsidRPr="00926D82">
        <w:rPr>
          <w:sz w:val="22"/>
          <w:szCs w:val="22"/>
        </w:rPr>
        <w:t xml:space="preserve"> (HCB) has been greatly studied for its porphyria-inducing abilities and a large incident of porphyria in some young people in Turkey 60 years ago was ascribed to susceptible individuals who had consumed HCB. It is controversial whether HCB is a weak AHR ligand. Evidence of porphyria in people exposed accidentally or occupationally to accepted AHR ligands such as TCDD and PCBs is thin. Importantly, iron status can profoundly modify experimental </w:t>
      </w:r>
      <w:proofErr w:type="spellStart"/>
      <w:r w:rsidRPr="00926D82">
        <w:rPr>
          <w:sz w:val="22"/>
          <w:szCs w:val="22"/>
        </w:rPr>
        <w:t>uroporphyria</w:t>
      </w:r>
      <w:proofErr w:type="spellEnd"/>
      <w:r w:rsidRPr="00926D82">
        <w:rPr>
          <w:sz w:val="22"/>
          <w:szCs w:val="22"/>
        </w:rPr>
        <w:t xml:space="preserve"> induced by these chemicals especially in mice. In fact iron overload alone of mice will eventually produce a strong hepatic </w:t>
      </w:r>
      <w:proofErr w:type="spellStart"/>
      <w:r w:rsidRPr="00926D82">
        <w:rPr>
          <w:sz w:val="22"/>
          <w:szCs w:val="22"/>
        </w:rPr>
        <w:t>uroporphyria</w:t>
      </w:r>
      <w:proofErr w:type="spellEnd"/>
      <w:r w:rsidRPr="00926D82">
        <w:rPr>
          <w:sz w:val="22"/>
          <w:szCs w:val="22"/>
        </w:rPr>
        <w:t xml:space="preserve"> which is markedly genetically determined and toxicity can be ameliorated by chelators resembling PCT. Thus hepatic porphyria could alternatively be viewed as an iron AOP. At an overall level hepatic </w:t>
      </w:r>
      <w:proofErr w:type="spellStart"/>
      <w:r w:rsidRPr="00926D82">
        <w:rPr>
          <w:sz w:val="22"/>
          <w:szCs w:val="22"/>
        </w:rPr>
        <w:t>uroporphyria</w:t>
      </w:r>
      <w:proofErr w:type="spellEnd"/>
      <w:r w:rsidRPr="00926D82">
        <w:rPr>
          <w:sz w:val="22"/>
          <w:szCs w:val="22"/>
        </w:rPr>
        <w:t xml:space="preserve"> in animals and patients is the outcome of complex genetic traits and external stimuli in which in some traditional toxicological circumstances binding of a chemical to the AHR may have a major contribution</w:t>
      </w:r>
      <w:hyperlink w:anchor="cite_note-Thunell2000-4" w:history="1">
        <w:r w:rsidRPr="00926D82">
          <w:rPr>
            <w:rStyle w:val="Lienhypertexte"/>
            <w:sz w:val="22"/>
            <w:szCs w:val="22"/>
            <w:vertAlign w:val="superscript"/>
          </w:rPr>
          <w:t>[67]</w:t>
        </w:r>
      </w:hyperlink>
      <w:r w:rsidRPr="00926D82">
        <w:rPr>
          <w:sz w:val="22"/>
          <w:szCs w:val="22"/>
        </w:rPr>
        <w:t xml:space="preserve"> but in others may not.</w:t>
      </w:r>
    </w:p>
    <w:p w:rsidR="00996DA2" w:rsidRPr="00926D82" w:rsidRDefault="00996DA2" w:rsidP="00996DA2">
      <w:pPr>
        <w:spacing w:line="360" w:lineRule="auto"/>
        <w:rPr>
          <w:lang w:val="en-US"/>
        </w:rPr>
      </w:pPr>
    </w:p>
    <w:p w:rsidR="00996DA2" w:rsidRPr="002B57AF" w:rsidRDefault="00996DA2" w:rsidP="002B57AF">
      <w:pPr>
        <w:spacing w:line="360" w:lineRule="auto"/>
        <w:rPr>
          <w:sz w:val="28"/>
        </w:rPr>
      </w:pPr>
      <w:r>
        <w:br w:type="page"/>
      </w:r>
    </w:p>
    <w:tbl>
      <w:tblPr>
        <w:tblStyle w:val="Grilledutableau"/>
        <w:tblW w:w="0" w:type="auto"/>
        <w:tblLook w:val="04A0" w:firstRow="1" w:lastRow="0" w:firstColumn="1" w:lastColumn="0" w:noHBand="0" w:noVBand="1"/>
      </w:tblPr>
      <w:tblGrid>
        <w:gridCol w:w="1101"/>
        <w:gridCol w:w="8475"/>
      </w:tblGrid>
      <w:tr w:rsidR="00996DA2" w:rsidTr="008C513B">
        <w:tc>
          <w:tcPr>
            <w:tcW w:w="1101" w:type="dxa"/>
          </w:tcPr>
          <w:p w:rsidR="00996DA2" w:rsidRPr="00996DA2" w:rsidRDefault="00996DA2" w:rsidP="008C513B">
            <w:pPr>
              <w:rPr>
                <w:b/>
                <w:noProof/>
              </w:rPr>
            </w:pPr>
            <w:r w:rsidRPr="00996DA2">
              <w:rPr>
                <w:b/>
                <w:noProof/>
              </w:rPr>
              <w:lastRenderedPageBreak/>
              <w:t>Action items</w:t>
            </w:r>
          </w:p>
        </w:tc>
        <w:tc>
          <w:tcPr>
            <w:tcW w:w="8475" w:type="dxa"/>
          </w:tcPr>
          <w:p w:rsidR="00996DA2" w:rsidRDefault="00996DA2" w:rsidP="008C513B">
            <w:pPr>
              <w:rPr>
                <w:noProof/>
              </w:rPr>
            </w:pPr>
            <w:r w:rsidRPr="00307F78">
              <w:rPr>
                <w:rFonts w:eastAsia="Calibri"/>
                <w:lang w:val="en-US"/>
              </w:rPr>
              <w:t xml:space="preserve">2) Examine the evidence demonstrating that </w:t>
            </w:r>
            <w:proofErr w:type="spellStart"/>
            <w:r w:rsidRPr="00307F78">
              <w:rPr>
                <w:rFonts w:eastAsia="Calibri"/>
                <w:lang w:val="en-US"/>
              </w:rPr>
              <w:t>AhR</w:t>
            </w:r>
            <w:proofErr w:type="spellEnd"/>
            <w:r w:rsidRPr="00307F78">
              <w:rPr>
                <w:rFonts w:eastAsia="Calibri"/>
                <w:lang w:val="en-US"/>
              </w:rPr>
              <w:t xml:space="preserve"> induced </w:t>
            </w:r>
            <w:proofErr w:type="spellStart"/>
            <w:r w:rsidRPr="00307F78">
              <w:rPr>
                <w:rFonts w:eastAsia="Calibri"/>
                <w:lang w:val="en-US"/>
              </w:rPr>
              <w:t>uroporphyria</w:t>
            </w:r>
            <w:proofErr w:type="spellEnd"/>
            <w:r w:rsidRPr="00307F78">
              <w:rPr>
                <w:rFonts w:eastAsia="Calibri"/>
                <w:lang w:val="en-US"/>
              </w:rPr>
              <w:t xml:space="preserve"> is modulated by iron, other cellular pathways (e.g. estrogen activation, other oxidative stress pathways) and antioxidants (ascorbic acid)</w:t>
            </w:r>
            <w:r w:rsidR="00040D93">
              <w:rPr>
                <w:rFonts w:eastAsia="Calibri"/>
                <w:lang w:val="en-US"/>
              </w:rPr>
              <w:t xml:space="preserve">. </w:t>
            </w:r>
          </w:p>
        </w:tc>
      </w:tr>
      <w:tr w:rsidR="00996DA2" w:rsidTr="008C513B">
        <w:tc>
          <w:tcPr>
            <w:tcW w:w="1101" w:type="dxa"/>
          </w:tcPr>
          <w:p w:rsidR="00996DA2" w:rsidRPr="00996DA2" w:rsidRDefault="00996DA2" w:rsidP="008C513B">
            <w:pPr>
              <w:rPr>
                <w:b/>
                <w:noProof/>
              </w:rPr>
            </w:pPr>
            <w:r w:rsidRPr="00996DA2">
              <w:rPr>
                <w:b/>
                <w:noProof/>
              </w:rPr>
              <w:t>Intended changes</w:t>
            </w:r>
          </w:p>
        </w:tc>
        <w:tc>
          <w:tcPr>
            <w:tcW w:w="8475" w:type="dxa"/>
          </w:tcPr>
          <w:p w:rsidR="00996DA2" w:rsidRPr="00996DA2" w:rsidRDefault="00996DA2" w:rsidP="00996DA2">
            <w:pPr>
              <w:numPr>
                <w:ilvl w:val="0"/>
                <w:numId w:val="1"/>
              </w:numPr>
              <w:tabs>
                <w:tab w:val="clear" w:pos="850"/>
                <w:tab w:val="clear" w:pos="1191"/>
                <w:tab w:val="clear" w:pos="1531"/>
              </w:tabs>
              <w:contextualSpacing/>
              <w:jc w:val="left"/>
              <w:rPr>
                <w:rFonts w:eastAsia="Calibri"/>
                <w:lang w:val="en-US"/>
              </w:rPr>
            </w:pPr>
            <w:r w:rsidRPr="00996DA2">
              <w:rPr>
                <w:rFonts w:eastAsia="Calibri"/>
                <w:lang w:val="en-US"/>
              </w:rPr>
              <w:t>Remove iron as a stressor and add as a modulating factor in KER868</w:t>
            </w:r>
          </w:p>
          <w:p w:rsidR="00996DA2" w:rsidRPr="00996DA2" w:rsidRDefault="00996DA2" w:rsidP="00996DA2">
            <w:pPr>
              <w:numPr>
                <w:ilvl w:val="0"/>
                <w:numId w:val="1"/>
              </w:numPr>
              <w:tabs>
                <w:tab w:val="clear" w:pos="850"/>
                <w:tab w:val="clear" w:pos="1191"/>
                <w:tab w:val="clear" w:pos="1531"/>
              </w:tabs>
              <w:contextualSpacing/>
              <w:jc w:val="left"/>
              <w:rPr>
                <w:rFonts w:eastAsia="Calibri"/>
                <w:lang w:val="en-US"/>
              </w:rPr>
            </w:pPr>
            <w:r w:rsidRPr="00996DA2">
              <w:rPr>
                <w:rFonts w:eastAsia="Calibri"/>
                <w:lang w:val="en-US"/>
              </w:rPr>
              <w:t>Include other potential modulating factors in discussion</w:t>
            </w:r>
          </w:p>
          <w:p w:rsidR="00996DA2" w:rsidRPr="00996DA2" w:rsidRDefault="00996DA2" w:rsidP="00996DA2">
            <w:pPr>
              <w:numPr>
                <w:ilvl w:val="1"/>
                <w:numId w:val="1"/>
              </w:numPr>
              <w:tabs>
                <w:tab w:val="clear" w:pos="850"/>
                <w:tab w:val="clear" w:pos="1191"/>
                <w:tab w:val="clear" w:pos="1531"/>
              </w:tabs>
              <w:contextualSpacing/>
              <w:jc w:val="left"/>
              <w:rPr>
                <w:rFonts w:eastAsia="Calibri"/>
                <w:lang w:val="en-US"/>
              </w:rPr>
            </w:pPr>
            <w:r w:rsidRPr="00996DA2">
              <w:rPr>
                <w:rFonts w:eastAsia="Calibri"/>
                <w:lang w:val="en-US"/>
              </w:rPr>
              <w:t>Levels of ascorbic acid negatively correlated with CYP1A2 induction (/activity?) (see text from comment #28)</w:t>
            </w:r>
            <w:r w:rsidRPr="00996DA2">
              <w:rPr>
                <w:rFonts w:eastAsia="Calibri"/>
                <w:lang w:val="en-US"/>
              </w:rPr>
              <w:sym w:font="Wingdings" w:char="F0E0"/>
            </w:r>
            <w:r w:rsidRPr="00996DA2">
              <w:rPr>
                <w:rFonts w:eastAsia="Calibri"/>
                <w:lang w:val="en-US"/>
              </w:rPr>
              <w:t xml:space="preserve"> may help-explain diff. in strain susceptibility</w:t>
            </w:r>
          </w:p>
          <w:p w:rsidR="00996DA2" w:rsidRPr="00996DA2" w:rsidRDefault="00996DA2" w:rsidP="00996DA2">
            <w:pPr>
              <w:numPr>
                <w:ilvl w:val="1"/>
                <w:numId w:val="1"/>
              </w:numPr>
              <w:tabs>
                <w:tab w:val="clear" w:pos="850"/>
                <w:tab w:val="clear" w:pos="1191"/>
                <w:tab w:val="clear" w:pos="1531"/>
              </w:tabs>
              <w:contextualSpacing/>
              <w:jc w:val="left"/>
              <w:rPr>
                <w:rFonts w:eastAsia="Calibri"/>
                <w:lang w:val="en-US"/>
              </w:rPr>
            </w:pPr>
            <w:r w:rsidRPr="00996DA2">
              <w:rPr>
                <w:rFonts w:eastAsia="Calibri"/>
                <w:lang w:val="en-US"/>
              </w:rPr>
              <w:t xml:space="preserve">antioxidant capacity within a hepatic cell may be a confounding factor as to why some animals and humans are susceptible or resistant to </w:t>
            </w:r>
            <w:proofErr w:type="spellStart"/>
            <w:r w:rsidRPr="00996DA2">
              <w:rPr>
                <w:rFonts w:eastAsia="Calibri"/>
                <w:lang w:val="en-US"/>
              </w:rPr>
              <w:t>ArH</w:t>
            </w:r>
            <w:proofErr w:type="spellEnd"/>
            <w:r w:rsidRPr="00996DA2">
              <w:rPr>
                <w:rFonts w:eastAsia="Calibri"/>
                <w:lang w:val="en-US"/>
              </w:rPr>
              <w:t xml:space="preserve"> inducers</w:t>
            </w:r>
          </w:p>
          <w:p w:rsidR="00996DA2" w:rsidRDefault="00996DA2" w:rsidP="00996DA2">
            <w:pPr>
              <w:pStyle w:val="Paragraphedeliste"/>
              <w:numPr>
                <w:ilvl w:val="0"/>
                <w:numId w:val="1"/>
              </w:numPr>
              <w:rPr>
                <w:noProof/>
              </w:rPr>
            </w:pPr>
            <w:r w:rsidRPr="00996DA2">
              <w:rPr>
                <w:rFonts w:eastAsia="Calibri"/>
                <w:lang w:val="en-US"/>
              </w:rPr>
              <w:t>General increase in oxidative stress [i.e. lipid peroxidation, reactive oxygen species (ROS) and oxidized glutathione] due to TCDD is not dependent on functional CYP1A2 (Comment 28d), and may potentiate UROX.</w:t>
            </w:r>
          </w:p>
        </w:tc>
      </w:tr>
      <w:tr w:rsidR="00996DA2" w:rsidTr="008C513B">
        <w:tc>
          <w:tcPr>
            <w:tcW w:w="1101" w:type="dxa"/>
          </w:tcPr>
          <w:p w:rsidR="00996DA2" w:rsidRPr="00996DA2" w:rsidRDefault="00996DA2" w:rsidP="008C513B">
            <w:pPr>
              <w:spacing w:line="360" w:lineRule="auto"/>
              <w:rPr>
                <w:b/>
                <w:noProof/>
              </w:rPr>
            </w:pPr>
            <w:r w:rsidRPr="00996DA2">
              <w:rPr>
                <w:b/>
                <w:noProof/>
              </w:rPr>
              <w:t>Changes</w:t>
            </w:r>
          </w:p>
        </w:tc>
        <w:tc>
          <w:tcPr>
            <w:tcW w:w="8475" w:type="dxa"/>
          </w:tcPr>
          <w:p w:rsidR="00996DA2" w:rsidRDefault="00996DA2" w:rsidP="0078553B">
            <w:pPr>
              <w:pStyle w:val="Paragraphedeliste"/>
              <w:numPr>
                <w:ilvl w:val="0"/>
                <w:numId w:val="3"/>
              </w:numPr>
              <w:rPr>
                <w:noProof/>
              </w:rPr>
            </w:pPr>
            <w:r>
              <w:rPr>
                <w:noProof/>
              </w:rPr>
              <w:t xml:space="preserve">Iron was removed from the stressor list on the AOP main page and added to KER868 as a modulator. Ascorbic acid was also added. See text 2.1 </w:t>
            </w:r>
          </w:p>
          <w:p w:rsidR="00996DA2" w:rsidRDefault="00996DA2" w:rsidP="0078553B">
            <w:pPr>
              <w:pStyle w:val="Paragraphedeliste"/>
              <w:numPr>
                <w:ilvl w:val="0"/>
                <w:numId w:val="3"/>
              </w:numPr>
              <w:rPr>
                <w:noProof/>
              </w:rPr>
            </w:pPr>
            <w:r>
              <w:rPr>
                <w:noProof/>
              </w:rPr>
              <w:t>No relevant litterature was found to support the benefic effect of antioxidant</w:t>
            </w:r>
            <w:r w:rsidR="0078553B">
              <w:rPr>
                <w:noProof/>
              </w:rPr>
              <w:t xml:space="preserve"> o</w:t>
            </w:r>
            <w:r>
              <w:rPr>
                <w:noProof/>
              </w:rPr>
              <w:t xml:space="preserve">n uroporphyria development. </w:t>
            </w:r>
            <w:r w:rsidR="0078553B">
              <w:rPr>
                <w:noProof/>
              </w:rPr>
              <w:t xml:space="preserve">However, the involvement of cellular oxidative stress in UROX was added to the uncertainties of KER868. See text 2.2. </w:t>
            </w:r>
          </w:p>
        </w:tc>
      </w:tr>
    </w:tbl>
    <w:p w:rsidR="00996DA2" w:rsidRDefault="00996DA2"/>
    <w:p w:rsidR="00996DA2" w:rsidRDefault="00996DA2">
      <w:pPr>
        <w:rPr>
          <w:b/>
        </w:rPr>
      </w:pPr>
      <w:r w:rsidRPr="00996DA2">
        <w:rPr>
          <w:b/>
        </w:rPr>
        <w:t>Text 2.1</w:t>
      </w:r>
      <w:r>
        <w:rPr>
          <w:b/>
        </w:rPr>
        <w:t>. Modulating factor of KER868</w:t>
      </w:r>
    </w:p>
    <w:p w:rsidR="00996DA2" w:rsidRPr="0078553B" w:rsidRDefault="00996DA2" w:rsidP="00996DA2">
      <w:pPr>
        <w:pStyle w:val="NormalWeb"/>
        <w:rPr>
          <w:sz w:val="22"/>
        </w:rPr>
      </w:pPr>
      <w:r w:rsidRPr="0078553B">
        <w:rPr>
          <w:sz w:val="22"/>
          <w:u w:val="single"/>
        </w:rPr>
        <w:t>Iron</w:t>
      </w:r>
    </w:p>
    <w:p w:rsidR="00996DA2" w:rsidRPr="00996DA2" w:rsidRDefault="00996DA2" w:rsidP="00996DA2">
      <w:pPr>
        <w:pStyle w:val="NormalWeb"/>
        <w:jc w:val="both"/>
        <w:rPr>
          <w:sz w:val="22"/>
        </w:rPr>
      </w:pPr>
      <w:r w:rsidRPr="00996DA2">
        <w:rPr>
          <w:sz w:val="22"/>
        </w:rPr>
        <w:t xml:space="preserve">Iron status can profoundly modify the level of uroporphyrin accumulation especially in mice. In fact iron overload alone of mice will eventually produce a strong hepatic </w:t>
      </w:r>
      <w:proofErr w:type="spellStart"/>
      <w:r w:rsidRPr="00996DA2">
        <w:rPr>
          <w:sz w:val="22"/>
        </w:rPr>
        <w:t>uroporphyria</w:t>
      </w:r>
      <w:proofErr w:type="spellEnd"/>
      <w:r w:rsidRPr="00996DA2">
        <w:rPr>
          <w:sz w:val="22"/>
        </w:rPr>
        <w:t xml:space="preserve"> which is markedly genetically determined and toxicity can be ameliorated by chelators </w:t>
      </w:r>
      <w:r w:rsidRPr="00996DA2">
        <w:rPr>
          <w:sz w:val="22"/>
          <w:vertAlign w:val="superscript"/>
        </w:rPr>
        <w:t>[</w:t>
      </w:r>
      <w:hyperlink r:id="rId7" w:anchor="13-0" w:history="1">
        <w:r w:rsidRPr="00996DA2">
          <w:rPr>
            <w:rStyle w:val="Lienhypertexte"/>
            <w:sz w:val="22"/>
            <w:vertAlign w:val="superscript"/>
          </w:rPr>
          <w:t>15-16]</w:t>
        </w:r>
      </w:hyperlink>
      <w:r w:rsidRPr="00996DA2">
        <w:rPr>
          <w:sz w:val="22"/>
        </w:rPr>
        <w:t xml:space="preserve">. In human suffering from uroporphyrin accumulation, it was found that lowering body iron stores by bleeding or now chelators causes remission </w:t>
      </w:r>
      <w:r w:rsidRPr="00996DA2">
        <w:rPr>
          <w:sz w:val="22"/>
          <w:vertAlign w:val="superscript"/>
        </w:rPr>
        <w:t>[</w:t>
      </w:r>
      <w:hyperlink r:id="rId8" w:anchor="13-0" w:history="1">
        <w:r w:rsidRPr="00996DA2">
          <w:rPr>
            <w:rStyle w:val="Lienhypertexte"/>
            <w:sz w:val="22"/>
            <w:vertAlign w:val="superscript"/>
          </w:rPr>
          <w:t>17]</w:t>
        </w:r>
      </w:hyperlink>
      <w:r w:rsidRPr="00996DA2">
        <w:rPr>
          <w:sz w:val="22"/>
        </w:rPr>
        <w:t>.</w:t>
      </w:r>
    </w:p>
    <w:p w:rsidR="00996DA2" w:rsidRDefault="00996DA2" w:rsidP="00996DA2">
      <w:pPr>
        <w:pStyle w:val="NormalWeb"/>
        <w:jc w:val="both"/>
        <w:rPr>
          <w:sz w:val="22"/>
        </w:rPr>
      </w:pPr>
      <w:r w:rsidRPr="00996DA2">
        <w:rPr>
          <w:sz w:val="22"/>
        </w:rPr>
        <w:t>Cycling between the ferrous (Fe</w:t>
      </w:r>
      <w:r w:rsidRPr="00996DA2">
        <w:rPr>
          <w:sz w:val="22"/>
          <w:vertAlign w:val="superscript"/>
        </w:rPr>
        <w:t>2+</w:t>
      </w:r>
      <w:r w:rsidRPr="00996DA2">
        <w:rPr>
          <w:sz w:val="22"/>
        </w:rPr>
        <w:t>) and ferric (Fe</w:t>
      </w:r>
      <w:r w:rsidRPr="00996DA2">
        <w:rPr>
          <w:sz w:val="22"/>
          <w:vertAlign w:val="superscript"/>
        </w:rPr>
        <w:t>3+</w:t>
      </w:r>
      <w:r w:rsidRPr="00996DA2">
        <w:rPr>
          <w:sz w:val="22"/>
        </w:rPr>
        <w:t xml:space="preserve">) redox states allows Fe to catalyze the Haber-Weiss reaction, in which highly reactive </w:t>
      </w:r>
      <w:r w:rsidRPr="00996DA2">
        <w:rPr>
          <w:sz w:val="22"/>
          <w:vertAlign w:val="superscript"/>
        </w:rPr>
        <w:t>•</w:t>
      </w:r>
      <w:r w:rsidRPr="00996DA2">
        <w:rPr>
          <w:sz w:val="22"/>
        </w:rPr>
        <w:t>OH is generated from H</w:t>
      </w:r>
      <w:r w:rsidRPr="00996DA2">
        <w:rPr>
          <w:sz w:val="22"/>
          <w:vertAlign w:val="subscript"/>
        </w:rPr>
        <w:t>2</w:t>
      </w:r>
      <w:r w:rsidRPr="00996DA2">
        <w:rPr>
          <w:sz w:val="22"/>
        </w:rPr>
        <w:t>O</w:t>
      </w:r>
      <w:r w:rsidRPr="00996DA2">
        <w:rPr>
          <w:sz w:val="22"/>
          <w:vertAlign w:val="subscript"/>
        </w:rPr>
        <w:t>2</w:t>
      </w:r>
      <w:r w:rsidRPr="00996DA2">
        <w:rPr>
          <w:sz w:val="22"/>
        </w:rPr>
        <w:t xml:space="preserve"> and O</w:t>
      </w:r>
      <w:r w:rsidRPr="00996DA2">
        <w:rPr>
          <w:sz w:val="22"/>
          <w:vertAlign w:val="subscript"/>
        </w:rPr>
        <w:t>2</w:t>
      </w:r>
      <w:r w:rsidRPr="00996DA2">
        <w:rPr>
          <w:sz w:val="22"/>
          <w:vertAlign w:val="superscript"/>
        </w:rPr>
        <w:t>•−</w:t>
      </w:r>
      <w:r w:rsidRPr="00996DA2">
        <w:rPr>
          <w:sz w:val="22"/>
        </w:rPr>
        <w:t xml:space="preserve">. Thus, by catalyzing the formation of reactive oxygen species, </w:t>
      </w:r>
      <w:r w:rsidR="003E4D95">
        <w:rPr>
          <w:sz w:val="22"/>
        </w:rPr>
        <w:t xml:space="preserve">it is suggested that </w:t>
      </w:r>
      <w:r w:rsidRPr="00996DA2">
        <w:rPr>
          <w:sz w:val="22"/>
        </w:rPr>
        <w:t xml:space="preserve">iron can increase the rate at which uroporphyrinogen is oxidized to uroporphyrin and therefore enhance uroporphyrin formation </w:t>
      </w:r>
      <w:r w:rsidRPr="00996DA2">
        <w:rPr>
          <w:sz w:val="22"/>
          <w:vertAlign w:val="superscript"/>
        </w:rPr>
        <w:t>[</w:t>
      </w:r>
      <w:hyperlink r:id="rId9" w:anchor="13-0" w:history="1">
        <w:r w:rsidRPr="00996DA2">
          <w:rPr>
            <w:rStyle w:val="Lienhypertexte"/>
            <w:sz w:val="22"/>
            <w:vertAlign w:val="superscript"/>
          </w:rPr>
          <w:t>18]</w:t>
        </w:r>
      </w:hyperlink>
      <w:r w:rsidRPr="00996DA2">
        <w:rPr>
          <w:sz w:val="22"/>
        </w:rPr>
        <w:t>.</w:t>
      </w:r>
    </w:p>
    <w:p w:rsidR="00996DA2" w:rsidRPr="00996DA2" w:rsidRDefault="00996DA2" w:rsidP="00996DA2">
      <w:pPr>
        <w:pStyle w:val="NormalWeb"/>
        <w:jc w:val="both"/>
        <w:rPr>
          <w:sz w:val="22"/>
        </w:rPr>
      </w:pPr>
      <w:r w:rsidRPr="00996DA2">
        <w:rPr>
          <w:sz w:val="22"/>
          <w:u w:val="single"/>
        </w:rPr>
        <w:t>Ascorbic acid</w:t>
      </w:r>
      <w:bookmarkStart w:id="0" w:name="_GoBack"/>
      <w:bookmarkEnd w:id="0"/>
    </w:p>
    <w:p w:rsidR="00996DA2" w:rsidRPr="00996DA2" w:rsidRDefault="00996DA2" w:rsidP="00996DA2">
      <w:pPr>
        <w:pStyle w:val="NormalWeb"/>
        <w:jc w:val="both"/>
        <w:rPr>
          <w:sz w:val="22"/>
        </w:rPr>
      </w:pPr>
      <w:r w:rsidRPr="00996DA2">
        <w:rPr>
          <w:sz w:val="22"/>
        </w:rPr>
        <w:t xml:space="preserve">Ascorbic acid (AA) can prevent uroporphyrin accumulation experimental </w:t>
      </w:r>
      <w:proofErr w:type="spellStart"/>
      <w:r w:rsidRPr="00996DA2">
        <w:rPr>
          <w:sz w:val="22"/>
        </w:rPr>
        <w:t>uroporphyria</w:t>
      </w:r>
      <w:proofErr w:type="spellEnd"/>
      <w:r w:rsidRPr="00996DA2">
        <w:rPr>
          <w:sz w:val="22"/>
        </w:rPr>
        <w:t xml:space="preserve">, but only when hepatic iron stores are normal or mildly elevated </w:t>
      </w:r>
      <w:r w:rsidRPr="00996DA2">
        <w:rPr>
          <w:sz w:val="22"/>
          <w:vertAlign w:val="superscript"/>
        </w:rPr>
        <w:t>[</w:t>
      </w:r>
      <w:hyperlink r:id="rId10" w:anchor="13-0" w:history="1">
        <w:r w:rsidRPr="00996DA2">
          <w:rPr>
            <w:rStyle w:val="Lienhypertexte"/>
            <w:sz w:val="22"/>
            <w:vertAlign w:val="superscript"/>
          </w:rPr>
          <w:t>19]</w:t>
        </w:r>
      </w:hyperlink>
      <w:r w:rsidRPr="00996DA2">
        <w:rPr>
          <w:sz w:val="22"/>
        </w:rPr>
        <w:t>. It was shown in chick embryo liver cells that AA could prevent uroporphyrin accumulation caused by treatment with 3,3',4,4'-tetrachlorobiphenyl and 5-aminole-vulinate by competitively inhibiting microsomal CYP1A2-catalyzed oxidation of uroporphyrinogen</w:t>
      </w:r>
      <w:r w:rsidRPr="00996DA2">
        <w:rPr>
          <w:sz w:val="22"/>
          <w:vertAlign w:val="superscript"/>
        </w:rPr>
        <w:t>[</w:t>
      </w:r>
      <w:hyperlink r:id="rId11" w:anchor="13-0" w:history="1">
        <w:r w:rsidRPr="00996DA2">
          <w:rPr>
            <w:rStyle w:val="Lienhypertexte"/>
            <w:sz w:val="22"/>
            <w:vertAlign w:val="superscript"/>
          </w:rPr>
          <w:t>20]</w:t>
        </w:r>
      </w:hyperlink>
      <w:r w:rsidRPr="00996DA2">
        <w:rPr>
          <w:sz w:val="22"/>
        </w:rPr>
        <w:t>. Oppositely, in a spontaneous mutant rat that requires dietary AA, hepatic uroporphyrin accumulation caused by treatment with 3-methylcholanthrene or hexachlorobenzene was found to be enhanced when the animals were maintained on a very low AA dietary intake</w:t>
      </w:r>
      <w:r w:rsidRPr="00996DA2">
        <w:rPr>
          <w:sz w:val="22"/>
          <w:vertAlign w:val="superscript"/>
        </w:rPr>
        <w:t>[</w:t>
      </w:r>
      <w:hyperlink r:id="rId12" w:anchor="13-0" w:history="1">
        <w:r w:rsidRPr="00996DA2">
          <w:rPr>
            <w:rStyle w:val="Lienhypertexte"/>
            <w:sz w:val="22"/>
            <w:vertAlign w:val="superscript"/>
          </w:rPr>
          <w:t>21]</w:t>
        </w:r>
      </w:hyperlink>
      <w:r w:rsidRPr="00996DA2">
        <w:rPr>
          <w:sz w:val="22"/>
        </w:rPr>
        <w:t>.</w:t>
      </w:r>
    </w:p>
    <w:p w:rsidR="0078553B" w:rsidRPr="0078553B" w:rsidRDefault="0078553B" w:rsidP="00996DA2">
      <w:pPr>
        <w:pStyle w:val="NormalWeb"/>
        <w:jc w:val="both"/>
        <w:rPr>
          <w:b/>
          <w:sz w:val="22"/>
        </w:rPr>
      </w:pPr>
      <w:r w:rsidRPr="0078553B">
        <w:rPr>
          <w:b/>
          <w:sz w:val="22"/>
        </w:rPr>
        <w:t>Text 2.2. Involvement of ROS in UROX</w:t>
      </w:r>
    </w:p>
    <w:p w:rsidR="00996DA2" w:rsidRPr="00996DA2" w:rsidRDefault="00996DA2" w:rsidP="00996DA2">
      <w:pPr>
        <w:pStyle w:val="NormalWeb"/>
        <w:jc w:val="both"/>
        <w:rPr>
          <w:sz w:val="20"/>
        </w:rPr>
      </w:pPr>
      <w:r w:rsidRPr="00996DA2">
        <w:rPr>
          <w:sz w:val="22"/>
        </w:rPr>
        <w:t xml:space="preserve">In mice, TCDD can elicit </w:t>
      </w:r>
      <w:proofErr w:type="spellStart"/>
      <w:r w:rsidRPr="00996DA2">
        <w:rPr>
          <w:sz w:val="22"/>
        </w:rPr>
        <w:t>AhR</w:t>
      </w:r>
      <w:proofErr w:type="spellEnd"/>
      <w:r w:rsidRPr="00996DA2">
        <w:rPr>
          <w:sz w:val="22"/>
        </w:rPr>
        <w:t xml:space="preserve">-dependent, CYP1A1/A2-independent mitochondrial ROS production suggesting that general oxidative stress induced independently of CYP1A2 induction may contribute to the resulting overall UROX by TCDD </w:t>
      </w:r>
      <w:r w:rsidRPr="00996DA2">
        <w:rPr>
          <w:sz w:val="22"/>
          <w:vertAlign w:val="superscript"/>
        </w:rPr>
        <w:t>[</w:t>
      </w:r>
      <w:hyperlink r:id="rId13" w:anchor="13-0" w:history="1">
        <w:r w:rsidRPr="00996DA2">
          <w:rPr>
            <w:rStyle w:val="Lienhypertexte"/>
            <w:sz w:val="22"/>
            <w:vertAlign w:val="superscript"/>
          </w:rPr>
          <w:t>14]</w:t>
        </w:r>
      </w:hyperlink>
      <w:r w:rsidRPr="00996DA2">
        <w:rPr>
          <w:sz w:val="22"/>
        </w:rPr>
        <w:t>.  </w:t>
      </w:r>
    </w:p>
    <w:tbl>
      <w:tblPr>
        <w:tblStyle w:val="Grilledutableau"/>
        <w:tblW w:w="0" w:type="auto"/>
        <w:tblLook w:val="04A0" w:firstRow="1" w:lastRow="0" w:firstColumn="1" w:lastColumn="0" w:noHBand="0" w:noVBand="1"/>
      </w:tblPr>
      <w:tblGrid>
        <w:gridCol w:w="1101"/>
        <w:gridCol w:w="8475"/>
      </w:tblGrid>
      <w:tr w:rsidR="0078553B" w:rsidTr="008C513B">
        <w:tc>
          <w:tcPr>
            <w:tcW w:w="1101" w:type="dxa"/>
          </w:tcPr>
          <w:p w:rsidR="0078553B" w:rsidRPr="00996DA2" w:rsidRDefault="0078553B" w:rsidP="008C513B">
            <w:pPr>
              <w:rPr>
                <w:b/>
                <w:noProof/>
              </w:rPr>
            </w:pPr>
            <w:r w:rsidRPr="00996DA2">
              <w:rPr>
                <w:b/>
                <w:noProof/>
              </w:rPr>
              <w:lastRenderedPageBreak/>
              <w:t>Action items</w:t>
            </w:r>
          </w:p>
        </w:tc>
        <w:tc>
          <w:tcPr>
            <w:tcW w:w="8475" w:type="dxa"/>
          </w:tcPr>
          <w:p w:rsidR="0078553B" w:rsidRDefault="0078553B" w:rsidP="008C513B">
            <w:pPr>
              <w:rPr>
                <w:noProof/>
              </w:rPr>
            </w:pPr>
            <w:r w:rsidRPr="00307F78">
              <w:rPr>
                <w:rFonts w:eastAsia="Calibri"/>
                <w:lang w:val="en-US"/>
              </w:rPr>
              <w:t>3) Present a summary of the significant uncertainties and inconsistencies for this AOP on the main AOP131 specific page.</w:t>
            </w:r>
          </w:p>
        </w:tc>
      </w:tr>
      <w:tr w:rsidR="0078553B" w:rsidTr="008C513B">
        <w:tc>
          <w:tcPr>
            <w:tcW w:w="1101" w:type="dxa"/>
          </w:tcPr>
          <w:p w:rsidR="0078553B" w:rsidRPr="00996DA2" w:rsidRDefault="0078553B" w:rsidP="008C513B">
            <w:pPr>
              <w:rPr>
                <w:b/>
                <w:noProof/>
              </w:rPr>
            </w:pPr>
            <w:r w:rsidRPr="00996DA2">
              <w:rPr>
                <w:b/>
                <w:noProof/>
              </w:rPr>
              <w:t>Intended changes</w:t>
            </w:r>
          </w:p>
        </w:tc>
        <w:tc>
          <w:tcPr>
            <w:tcW w:w="8475" w:type="dxa"/>
          </w:tcPr>
          <w:p w:rsidR="0078553B" w:rsidRPr="0078553B" w:rsidRDefault="0078553B" w:rsidP="0078553B">
            <w:pPr>
              <w:numPr>
                <w:ilvl w:val="0"/>
                <w:numId w:val="1"/>
              </w:numPr>
              <w:tabs>
                <w:tab w:val="clear" w:pos="850"/>
                <w:tab w:val="clear" w:pos="1191"/>
                <w:tab w:val="clear" w:pos="1531"/>
              </w:tabs>
              <w:contextualSpacing/>
              <w:jc w:val="left"/>
              <w:rPr>
                <w:rFonts w:eastAsia="Calibri"/>
                <w:lang w:val="en-US"/>
              </w:rPr>
            </w:pPr>
            <w:r w:rsidRPr="0078553B">
              <w:rPr>
                <w:rFonts w:eastAsia="Calibri"/>
                <w:lang w:val="en-US"/>
              </w:rPr>
              <w:t>Include summary of uncertainties on main AOP page that combines issues mentioned throughout KERs (specifically CYP1A2 essentiality/induction in humans, UROD inhibition in birds and potential alternate pathways)</w:t>
            </w:r>
          </w:p>
          <w:p w:rsidR="0078553B" w:rsidRPr="0078553B" w:rsidRDefault="0078553B" w:rsidP="0078553B">
            <w:pPr>
              <w:numPr>
                <w:ilvl w:val="1"/>
                <w:numId w:val="1"/>
              </w:numPr>
              <w:tabs>
                <w:tab w:val="clear" w:pos="850"/>
                <w:tab w:val="clear" w:pos="1191"/>
                <w:tab w:val="clear" w:pos="1531"/>
              </w:tabs>
              <w:contextualSpacing/>
              <w:jc w:val="left"/>
              <w:rPr>
                <w:rFonts w:eastAsia="Calibri"/>
                <w:lang w:val="en-US"/>
              </w:rPr>
            </w:pPr>
            <w:r w:rsidRPr="0078553B">
              <w:rPr>
                <w:rFonts w:eastAsia="Calibri"/>
                <w:lang w:val="en-US"/>
              </w:rPr>
              <w:t>These will remain on individual KER pages, and simply summarized on the AOP main page.</w:t>
            </w:r>
          </w:p>
          <w:p w:rsidR="0078553B" w:rsidRPr="0078553B" w:rsidRDefault="0078553B" w:rsidP="0078553B">
            <w:pPr>
              <w:numPr>
                <w:ilvl w:val="0"/>
                <w:numId w:val="1"/>
              </w:numPr>
              <w:tabs>
                <w:tab w:val="clear" w:pos="850"/>
                <w:tab w:val="clear" w:pos="1191"/>
                <w:tab w:val="clear" w:pos="1531"/>
              </w:tabs>
              <w:contextualSpacing/>
              <w:jc w:val="left"/>
              <w:rPr>
                <w:rFonts w:eastAsia="Calibri"/>
                <w:lang w:val="en-US"/>
              </w:rPr>
            </w:pPr>
            <w:r w:rsidRPr="0078553B">
              <w:rPr>
                <w:rFonts w:eastAsia="Calibri"/>
                <w:lang w:val="en-US"/>
              </w:rPr>
              <w:t>Add PAHs to main AOP page as stressor</w:t>
            </w:r>
          </w:p>
          <w:p w:rsidR="0078553B" w:rsidRPr="0078553B" w:rsidRDefault="0078553B" w:rsidP="0078553B">
            <w:pPr>
              <w:pStyle w:val="Paragraphedeliste"/>
              <w:numPr>
                <w:ilvl w:val="0"/>
                <w:numId w:val="1"/>
              </w:numPr>
              <w:rPr>
                <w:noProof/>
              </w:rPr>
            </w:pPr>
            <w:r w:rsidRPr="006834FB">
              <w:rPr>
                <w:rFonts w:eastAsia="Calibri"/>
                <w:lang w:val="en-US"/>
              </w:rPr>
              <w:t>Add more details about stressors including characteristics of strong vs low affinity AHR agonists</w:t>
            </w:r>
          </w:p>
        </w:tc>
      </w:tr>
      <w:tr w:rsidR="0078553B" w:rsidTr="008C513B">
        <w:tc>
          <w:tcPr>
            <w:tcW w:w="1101" w:type="dxa"/>
          </w:tcPr>
          <w:p w:rsidR="0078553B" w:rsidRPr="00996DA2" w:rsidRDefault="0078553B" w:rsidP="008C513B">
            <w:pPr>
              <w:spacing w:line="360" w:lineRule="auto"/>
              <w:rPr>
                <w:b/>
                <w:noProof/>
              </w:rPr>
            </w:pPr>
            <w:r w:rsidRPr="00996DA2">
              <w:rPr>
                <w:b/>
                <w:noProof/>
              </w:rPr>
              <w:t>Changes</w:t>
            </w:r>
          </w:p>
        </w:tc>
        <w:tc>
          <w:tcPr>
            <w:tcW w:w="8475" w:type="dxa"/>
          </w:tcPr>
          <w:p w:rsidR="0078553B" w:rsidRDefault="00040D93" w:rsidP="008C513B">
            <w:pPr>
              <w:pStyle w:val="Paragraphedeliste"/>
              <w:numPr>
                <w:ilvl w:val="0"/>
                <w:numId w:val="3"/>
              </w:numPr>
              <w:rPr>
                <w:noProof/>
              </w:rPr>
            </w:pPr>
            <w:r>
              <w:rPr>
                <w:noProof/>
              </w:rPr>
              <w:t>A summary of uncertainties was added to the main AOP page in the Evidence Assessment section. See text 3.1</w:t>
            </w:r>
            <w:r w:rsidR="0078553B">
              <w:rPr>
                <w:noProof/>
              </w:rPr>
              <w:t xml:space="preserve"> </w:t>
            </w:r>
          </w:p>
          <w:p w:rsidR="00040D93" w:rsidRDefault="00040D93" w:rsidP="006834FB">
            <w:pPr>
              <w:pStyle w:val="Paragraphedeliste"/>
              <w:numPr>
                <w:ilvl w:val="0"/>
                <w:numId w:val="3"/>
              </w:numPr>
              <w:rPr>
                <w:noProof/>
              </w:rPr>
            </w:pPr>
            <w:r>
              <w:rPr>
                <w:noProof/>
              </w:rPr>
              <w:t xml:space="preserve">PAH was added to the main AOP page as stressor. </w:t>
            </w:r>
          </w:p>
        </w:tc>
      </w:tr>
    </w:tbl>
    <w:p w:rsidR="0078553B" w:rsidRDefault="0078553B">
      <w:pPr>
        <w:rPr>
          <w:b/>
        </w:rPr>
      </w:pPr>
    </w:p>
    <w:p w:rsidR="00040D93" w:rsidRPr="00040D93" w:rsidRDefault="00040D93" w:rsidP="0078553B">
      <w:pPr>
        <w:pStyle w:val="Para"/>
        <w:ind w:left="0"/>
        <w:rPr>
          <w:rFonts w:eastAsia="Calibri"/>
          <w:b/>
          <w:lang w:val="en-US"/>
        </w:rPr>
      </w:pPr>
      <w:r w:rsidRPr="00040D93">
        <w:rPr>
          <w:rFonts w:eastAsia="Calibri"/>
          <w:b/>
          <w:lang w:val="en-US"/>
        </w:rPr>
        <w:t>Text 3.1. Uncertainties</w:t>
      </w:r>
    </w:p>
    <w:p w:rsidR="00926D82" w:rsidRPr="00230D7B" w:rsidRDefault="00926D82" w:rsidP="00230D7B">
      <w:pPr>
        <w:pStyle w:val="NormalWeb"/>
        <w:jc w:val="both"/>
        <w:rPr>
          <w:sz w:val="22"/>
          <w:szCs w:val="22"/>
        </w:rPr>
      </w:pPr>
      <w:r w:rsidRPr="00230D7B">
        <w:rPr>
          <w:sz w:val="22"/>
          <w:szCs w:val="22"/>
        </w:rPr>
        <w:t>Uncertainties</w:t>
      </w:r>
    </w:p>
    <w:p w:rsidR="00926D82" w:rsidRPr="00230D7B" w:rsidRDefault="00926D82" w:rsidP="00230D7B">
      <w:pPr>
        <w:pStyle w:val="NormalWeb"/>
        <w:jc w:val="both"/>
        <w:rPr>
          <w:sz w:val="22"/>
          <w:szCs w:val="22"/>
        </w:rPr>
      </w:pPr>
      <w:r w:rsidRPr="00230D7B">
        <w:rPr>
          <w:sz w:val="22"/>
          <w:szCs w:val="22"/>
        </w:rPr>
        <w:t>CYPs other than CYP1A2 are able of catalyzing uroporphyrinogen oxidation, raising doubts on the essentiality of CYP1A2 for this pathway. For instance, Phillips et al.</w:t>
      </w:r>
      <w:r w:rsidRPr="00230D7B">
        <w:rPr>
          <w:sz w:val="22"/>
          <w:szCs w:val="22"/>
          <w:vertAlign w:val="superscript"/>
        </w:rPr>
        <w:t>[35]</w:t>
      </w:r>
      <w:r w:rsidRPr="00230D7B">
        <w:rPr>
          <w:sz w:val="22"/>
          <w:szCs w:val="22"/>
        </w:rPr>
        <w:t xml:space="preserve"> were able to generate mild </w:t>
      </w:r>
      <w:proofErr w:type="spellStart"/>
      <w:r w:rsidRPr="00230D7B">
        <w:rPr>
          <w:sz w:val="22"/>
          <w:szCs w:val="22"/>
        </w:rPr>
        <w:t>uroporphyria</w:t>
      </w:r>
      <w:proofErr w:type="spellEnd"/>
      <w:r w:rsidRPr="00230D7B">
        <w:rPr>
          <w:sz w:val="22"/>
          <w:szCs w:val="22"/>
        </w:rPr>
        <w:t xml:space="preserve"> in a Cyp1A2-/- mouse model that is genetically predisposed (</w:t>
      </w:r>
      <w:proofErr w:type="spellStart"/>
      <w:r w:rsidRPr="00230D7B">
        <w:rPr>
          <w:sz w:val="22"/>
          <w:szCs w:val="22"/>
        </w:rPr>
        <w:t>Hfe</w:t>
      </w:r>
      <w:proofErr w:type="spellEnd"/>
      <w:r w:rsidRPr="00230D7B">
        <w:rPr>
          <w:sz w:val="22"/>
          <w:szCs w:val="22"/>
        </w:rPr>
        <w:t xml:space="preserve">-/-, </w:t>
      </w:r>
      <w:proofErr w:type="spellStart"/>
      <w:r w:rsidRPr="00230D7B">
        <w:rPr>
          <w:sz w:val="22"/>
          <w:szCs w:val="22"/>
        </w:rPr>
        <w:t>Urod</w:t>
      </w:r>
      <w:proofErr w:type="spellEnd"/>
      <w:r w:rsidRPr="00230D7B">
        <w:rPr>
          <w:sz w:val="22"/>
          <w:szCs w:val="22"/>
        </w:rPr>
        <w:t>-/+) to develop porphyria.</w:t>
      </w:r>
    </w:p>
    <w:p w:rsidR="00926D82" w:rsidRPr="00230D7B" w:rsidRDefault="00926D82" w:rsidP="00230D7B">
      <w:pPr>
        <w:pStyle w:val="NormalWeb"/>
        <w:jc w:val="both"/>
        <w:rPr>
          <w:sz w:val="22"/>
          <w:szCs w:val="22"/>
        </w:rPr>
      </w:pPr>
      <w:r w:rsidRPr="00230D7B">
        <w:rPr>
          <w:sz w:val="22"/>
          <w:szCs w:val="22"/>
        </w:rPr>
        <w:t xml:space="preserve">The essentiality of CYP1A2 induction in human porphyria </w:t>
      </w:r>
      <w:proofErr w:type="spellStart"/>
      <w:r w:rsidRPr="00230D7B">
        <w:rPr>
          <w:sz w:val="22"/>
          <w:szCs w:val="22"/>
        </w:rPr>
        <w:t>cutanea</w:t>
      </w:r>
      <w:proofErr w:type="spellEnd"/>
      <w:r w:rsidRPr="00230D7B">
        <w:rPr>
          <w:sz w:val="22"/>
          <w:szCs w:val="22"/>
        </w:rPr>
        <w:t xml:space="preserve"> </w:t>
      </w:r>
      <w:proofErr w:type="spellStart"/>
      <w:r w:rsidRPr="00230D7B">
        <w:rPr>
          <w:sz w:val="22"/>
          <w:szCs w:val="22"/>
        </w:rPr>
        <w:t>tarda</w:t>
      </w:r>
      <w:proofErr w:type="spellEnd"/>
      <w:r w:rsidRPr="00230D7B">
        <w:rPr>
          <w:sz w:val="22"/>
          <w:szCs w:val="22"/>
        </w:rPr>
        <w:t xml:space="preserve"> is unclear. UROX activity in human liver </w:t>
      </w:r>
      <w:proofErr w:type="spellStart"/>
      <w:r w:rsidRPr="00230D7B">
        <w:rPr>
          <w:sz w:val="22"/>
          <w:szCs w:val="22"/>
        </w:rPr>
        <w:t>microsomes</w:t>
      </w:r>
      <w:proofErr w:type="spellEnd"/>
      <w:r w:rsidRPr="00230D7B">
        <w:rPr>
          <w:sz w:val="22"/>
          <w:szCs w:val="22"/>
        </w:rPr>
        <w:t xml:space="preserve"> was not correlated with CYP1A2 content</w:t>
      </w:r>
      <w:r w:rsidRPr="00230D7B">
        <w:rPr>
          <w:sz w:val="22"/>
          <w:szCs w:val="22"/>
          <w:vertAlign w:val="superscript"/>
        </w:rPr>
        <w:t>[66]</w:t>
      </w:r>
      <w:r w:rsidRPr="00230D7B">
        <w:rPr>
          <w:sz w:val="22"/>
          <w:szCs w:val="22"/>
        </w:rPr>
        <w:t xml:space="preserve">. Furthermore, there is contradictory evidence regarding the association between CYP1A2 polymorphism and susceptibility to porphyria </w:t>
      </w:r>
      <w:proofErr w:type="spellStart"/>
      <w:r w:rsidRPr="00230D7B">
        <w:rPr>
          <w:sz w:val="22"/>
          <w:szCs w:val="22"/>
        </w:rPr>
        <w:t>cutanea</w:t>
      </w:r>
      <w:proofErr w:type="spellEnd"/>
      <w:r w:rsidRPr="00230D7B">
        <w:rPr>
          <w:sz w:val="22"/>
          <w:szCs w:val="22"/>
        </w:rPr>
        <w:t xml:space="preserve"> </w:t>
      </w:r>
      <w:proofErr w:type="spellStart"/>
      <w:r w:rsidRPr="00230D7B">
        <w:rPr>
          <w:sz w:val="22"/>
          <w:szCs w:val="22"/>
        </w:rPr>
        <w:t>tarda</w:t>
      </w:r>
      <w:proofErr w:type="spellEnd"/>
      <w:r w:rsidRPr="00230D7B">
        <w:rPr>
          <w:sz w:val="22"/>
          <w:szCs w:val="22"/>
        </w:rPr>
        <w:t xml:space="preserve"> </w:t>
      </w:r>
      <w:r w:rsidRPr="00230D7B">
        <w:rPr>
          <w:sz w:val="22"/>
          <w:szCs w:val="22"/>
          <w:vertAlign w:val="superscript"/>
        </w:rPr>
        <w:t>[63-64]</w:t>
      </w:r>
      <w:r w:rsidRPr="00230D7B">
        <w:rPr>
          <w:sz w:val="22"/>
          <w:szCs w:val="22"/>
        </w:rPr>
        <w:t>. It may be possible that in patients with a genetic variation in UROD causing an inherent reduction in activity, the activity of CYP1A2 is less important.</w:t>
      </w:r>
    </w:p>
    <w:p w:rsidR="00926D82" w:rsidRPr="00230D7B" w:rsidRDefault="00926D82" w:rsidP="00230D7B">
      <w:pPr>
        <w:pStyle w:val="NormalWeb"/>
        <w:jc w:val="both"/>
        <w:rPr>
          <w:sz w:val="22"/>
          <w:szCs w:val="22"/>
        </w:rPr>
      </w:pPr>
      <w:r w:rsidRPr="00230D7B">
        <w:rPr>
          <w:sz w:val="22"/>
          <w:szCs w:val="22"/>
        </w:rPr>
        <w:t xml:space="preserve">UROD inhibition is not always observed and/or is less pronounced in avian models of porphyria, mainly in quail </w:t>
      </w:r>
      <w:r w:rsidRPr="00230D7B">
        <w:rPr>
          <w:sz w:val="22"/>
          <w:szCs w:val="22"/>
          <w:vertAlign w:val="superscript"/>
        </w:rPr>
        <w:t>[47]</w:t>
      </w:r>
      <w:r w:rsidRPr="00230D7B">
        <w:rPr>
          <w:sz w:val="22"/>
          <w:szCs w:val="22"/>
        </w:rPr>
        <w:t>. It is suggested that a mechanism other than UROD inhibition explain the extent of porphyrin accumulation in birds. Therefore, the applicability of this AOP to avian remains uncertain.</w:t>
      </w:r>
    </w:p>
    <w:p w:rsidR="00926D82" w:rsidRPr="00230D7B" w:rsidRDefault="00926D82" w:rsidP="00230D7B">
      <w:pPr>
        <w:pStyle w:val="NormalWeb"/>
        <w:jc w:val="both"/>
        <w:rPr>
          <w:sz w:val="22"/>
          <w:szCs w:val="22"/>
        </w:rPr>
      </w:pPr>
      <w:r w:rsidRPr="00230D7B">
        <w:rPr>
          <w:sz w:val="22"/>
          <w:szCs w:val="22"/>
        </w:rPr>
        <w:t xml:space="preserve">The characterization of the UROD inhibitor isolated by Phillips </w:t>
      </w:r>
      <w:r w:rsidRPr="00230D7B">
        <w:rPr>
          <w:sz w:val="22"/>
          <w:szCs w:val="22"/>
          <w:vertAlign w:val="superscript"/>
        </w:rPr>
        <w:t>[38]</w:t>
      </w:r>
      <w:r w:rsidRPr="00230D7B">
        <w:rPr>
          <w:sz w:val="22"/>
          <w:szCs w:val="22"/>
        </w:rPr>
        <w:t xml:space="preserve"> has been criticized by Danton</w:t>
      </w:r>
      <w:r w:rsidRPr="00230D7B">
        <w:rPr>
          <w:sz w:val="22"/>
          <w:szCs w:val="22"/>
          <w:vertAlign w:val="superscript"/>
        </w:rPr>
        <w:t>[66]</w:t>
      </w:r>
      <w:r w:rsidRPr="00230D7B">
        <w:rPr>
          <w:sz w:val="22"/>
          <w:szCs w:val="22"/>
        </w:rPr>
        <w:t>. Therefore, UROD inhibitor has yet to be identified.</w:t>
      </w:r>
    </w:p>
    <w:p w:rsidR="00926D82" w:rsidRPr="00230D7B" w:rsidRDefault="00926D82" w:rsidP="00230D7B">
      <w:pPr>
        <w:pStyle w:val="NormalWeb"/>
        <w:jc w:val="both"/>
        <w:rPr>
          <w:sz w:val="22"/>
          <w:szCs w:val="22"/>
        </w:rPr>
      </w:pPr>
      <w:proofErr w:type="spellStart"/>
      <w:r w:rsidRPr="00230D7B">
        <w:rPr>
          <w:sz w:val="22"/>
          <w:szCs w:val="22"/>
        </w:rPr>
        <w:t>AhR</w:t>
      </w:r>
      <w:proofErr w:type="spellEnd"/>
      <w:r w:rsidRPr="00230D7B">
        <w:rPr>
          <w:sz w:val="22"/>
          <w:szCs w:val="22"/>
        </w:rPr>
        <w:t xml:space="preserve"> binding stressors under certain conditions do not lead to adverse effect in particular mammalian strains</w:t>
      </w:r>
      <w:r w:rsidRPr="00230D7B">
        <w:rPr>
          <w:sz w:val="22"/>
          <w:szCs w:val="22"/>
          <w:vertAlign w:val="superscript"/>
        </w:rPr>
        <w:t>[25]</w:t>
      </w:r>
      <w:r w:rsidRPr="00230D7B">
        <w:rPr>
          <w:sz w:val="22"/>
          <w:szCs w:val="22"/>
        </w:rPr>
        <w:t>.</w:t>
      </w:r>
    </w:p>
    <w:p w:rsidR="00926D82" w:rsidRPr="00667C8D" w:rsidRDefault="00926D82" w:rsidP="00D7442C">
      <w:pPr>
        <w:pStyle w:val="NormalWeb"/>
        <w:jc w:val="both"/>
        <w:rPr>
          <w:sz w:val="22"/>
          <w:szCs w:val="22"/>
        </w:rPr>
      </w:pPr>
    </w:p>
    <w:p w:rsidR="0078553B" w:rsidRDefault="0078553B">
      <w:pPr>
        <w:rPr>
          <w:b/>
          <w:lang w:val="en-US"/>
        </w:rPr>
      </w:pPr>
    </w:p>
    <w:p w:rsidR="00040D93" w:rsidRDefault="00040D93">
      <w:pPr>
        <w:tabs>
          <w:tab w:val="clear" w:pos="850"/>
          <w:tab w:val="clear" w:pos="1191"/>
          <w:tab w:val="clear" w:pos="1531"/>
        </w:tabs>
        <w:jc w:val="left"/>
        <w:rPr>
          <w:b/>
          <w:lang w:val="en-US"/>
        </w:rPr>
      </w:pPr>
      <w:r>
        <w:rPr>
          <w:b/>
          <w:lang w:val="en-US"/>
        </w:rPr>
        <w:br w:type="page"/>
      </w:r>
    </w:p>
    <w:tbl>
      <w:tblPr>
        <w:tblStyle w:val="Grilledutableau"/>
        <w:tblW w:w="0" w:type="auto"/>
        <w:tblLook w:val="04A0" w:firstRow="1" w:lastRow="0" w:firstColumn="1" w:lastColumn="0" w:noHBand="0" w:noVBand="1"/>
      </w:tblPr>
      <w:tblGrid>
        <w:gridCol w:w="1101"/>
        <w:gridCol w:w="8475"/>
      </w:tblGrid>
      <w:tr w:rsidR="00040D93" w:rsidTr="008C513B">
        <w:tc>
          <w:tcPr>
            <w:tcW w:w="1101" w:type="dxa"/>
          </w:tcPr>
          <w:p w:rsidR="00040D93" w:rsidRPr="00996DA2" w:rsidRDefault="00040D93" w:rsidP="008C513B">
            <w:pPr>
              <w:rPr>
                <w:b/>
                <w:noProof/>
              </w:rPr>
            </w:pPr>
            <w:r w:rsidRPr="00996DA2">
              <w:rPr>
                <w:b/>
                <w:noProof/>
              </w:rPr>
              <w:lastRenderedPageBreak/>
              <w:t>Action items</w:t>
            </w:r>
          </w:p>
        </w:tc>
        <w:tc>
          <w:tcPr>
            <w:tcW w:w="8475" w:type="dxa"/>
          </w:tcPr>
          <w:p w:rsidR="00040D93" w:rsidRDefault="003C54E3" w:rsidP="008C513B">
            <w:pPr>
              <w:rPr>
                <w:noProof/>
              </w:rPr>
            </w:pPr>
            <w:r>
              <w:rPr>
                <w:rFonts w:eastAsia="Calibri"/>
                <w:lang w:val="en-US"/>
              </w:rPr>
              <w:t xml:space="preserve">4) </w:t>
            </w:r>
            <w:r w:rsidR="00040D93" w:rsidRPr="00307F78">
              <w:rPr>
                <w:rFonts w:eastAsia="Calibri"/>
                <w:lang w:val="en-US"/>
              </w:rPr>
              <w:t xml:space="preserve">Revisit the interpretation of the observations of porphyria in </w:t>
            </w:r>
            <w:proofErr w:type="spellStart"/>
            <w:r w:rsidR="00040D93" w:rsidRPr="00307F78">
              <w:rPr>
                <w:rFonts w:eastAsia="Calibri"/>
                <w:lang w:val="en-US"/>
              </w:rPr>
              <w:t>AhR</w:t>
            </w:r>
            <w:proofErr w:type="spellEnd"/>
            <w:r w:rsidR="00040D93" w:rsidRPr="00307F78">
              <w:rPr>
                <w:rFonts w:eastAsia="Calibri"/>
                <w:lang w:val="en-US"/>
              </w:rPr>
              <w:t xml:space="preserve">-null mice in the context of KER868 and send </w:t>
            </w:r>
            <w:r w:rsidR="00040D93" w:rsidRPr="00040D93">
              <w:rPr>
                <w:rFonts w:eastAsia="Calibri"/>
                <w:lang w:val="en-US"/>
              </w:rPr>
              <w:t>a proposed modified text to reviewers</w:t>
            </w:r>
            <w:r w:rsidR="00040D93" w:rsidRPr="00307F78">
              <w:rPr>
                <w:rFonts w:eastAsia="Calibri"/>
                <w:lang w:val="en-US"/>
              </w:rPr>
              <w:t xml:space="preserve"> before the end of this review. Discussion on iron as a modulating factor would also be useful in this context.</w:t>
            </w:r>
          </w:p>
        </w:tc>
      </w:tr>
      <w:tr w:rsidR="00040D93" w:rsidTr="008C513B">
        <w:tc>
          <w:tcPr>
            <w:tcW w:w="1101" w:type="dxa"/>
          </w:tcPr>
          <w:p w:rsidR="00040D93" w:rsidRPr="00996DA2" w:rsidRDefault="00040D93" w:rsidP="008C513B">
            <w:pPr>
              <w:rPr>
                <w:b/>
                <w:noProof/>
              </w:rPr>
            </w:pPr>
            <w:r w:rsidRPr="00996DA2">
              <w:rPr>
                <w:b/>
                <w:noProof/>
              </w:rPr>
              <w:t>Intended changes</w:t>
            </w:r>
          </w:p>
        </w:tc>
        <w:tc>
          <w:tcPr>
            <w:tcW w:w="8475" w:type="dxa"/>
          </w:tcPr>
          <w:p w:rsidR="00040D93" w:rsidRPr="00040D93" w:rsidRDefault="00040D93" w:rsidP="00040D93">
            <w:pPr>
              <w:tabs>
                <w:tab w:val="clear" w:pos="850"/>
                <w:tab w:val="clear" w:pos="1191"/>
                <w:tab w:val="clear" w:pos="1531"/>
              </w:tabs>
              <w:contextualSpacing/>
              <w:jc w:val="left"/>
              <w:rPr>
                <w:rFonts w:eastAsia="Calibri"/>
                <w:lang w:val="en-US"/>
              </w:rPr>
            </w:pPr>
            <w:r w:rsidRPr="00040D93">
              <w:rPr>
                <w:rFonts w:eastAsia="Calibri"/>
                <w:lang w:val="en-US"/>
              </w:rPr>
              <w:t xml:space="preserve">(KER868=CYP1A2 </w:t>
            </w:r>
            <w:proofErr w:type="spellStart"/>
            <w:r w:rsidRPr="00040D93">
              <w:rPr>
                <w:rFonts w:eastAsia="Calibri"/>
                <w:lang w:val="en-US"/>
              </w:rPr>
              <w:t>Induc</w:t>
            </w:r>
            <w:proofErr w:type="spellEnd"/>
            <w:r w:rsidRPr="00040D93">
              <w:rPr>
                <w:rFonts w:eastAsia="Calibri"/>
                <w:lang w:val="en-US"/>
              </w:rPr>
              <w:sym w:font="Wingdings" w:char="F0E0"/>
            </w:r>
            <w:r w:rsidRPr="00040D93">
              <w:rPr>
                <w:rFonts w:eastAsia="Calibri"/>
                <w:lang w:val="en-US"/>
              </w:rPr>
              <w:t>UROX)</w:t>
            </w:r>
          </w:p>
          <w:p w:rsidR="00040D93" w:rsidRPr="00040D93" w:rsidRDefault="00040D93" w:rsidP="00040D93">
            <w:pPr>
              <w:numPr>
                <w:ilvl w:val="0"/>
                <w:numId w:val="7"/>
              </w:numPr>
              <w:tabs>
                <w:tab w:val="clear" w:pos="850"/>
                <w:tab w:val="clear" w:pos="1191"/>
                <w:tab w:val="clear" w:pos="1531"/>
              </w:tabs>
              <w:contextualSpacing/>
              <w:jc w:val="left"/>
              <w:rPr>
                <w:rFonts w:eastAsia="Calibri"/>
                <w:lang w:val="en-US"/>
              </w:rPr>
            </w:pPr>
            <w:r w:rsidRPr="00040D93">
              <w:rPr>
                <w:rFonts w:eastAsia="Calibri"/>
                <w:lang w:val="en-US"/>
              </w:rPr>
              <w:t>Elaborate on conditions of experiment in which mild porphyria observed in AHR-null mice (what were the potential driving forces?)</w:t>
            </w:r>
          </w:p>
          <w:p w:rsidR="00040D93" w:rsidRPr="00040D93" w:rsidRDefault="00040D93" w:rsidP="00040D93">
            <w:pPr>
              <w:numPr>
                <w:ilvl w:val="1"/>
                <w:numId w:val="6"/>
              </w:numPr>
              <w:tabs>
                <w:tab w:val="clear" w:pos="850"/>
                <w:tab w:val="clear" w:pos="1191"/>
                <w:tab w:val="clear" w:pos="1531"/>
              </w:tabs>
              <w:contextualSpacing/>
              <w:jc w:val="left"/>
              <w:rPr>
                <w:rFonts w:eastAsia="Calibri"/>
                <w:lang w:val="en-US"/>
              </w:rPr>
            </w:pPr>
            <w:r w:rsidRPr="00040D93">
              <w:rPr>
                <w:rFonts w:eastAsia="Calibri"/>
                <w:lang w:val="en-US"/>
              </w:rPr>
              <w:t>Iron over-load + genetic predisposition in UROD gene (lower inherent enzyme activity)</w:t>
            </w:r>
          </w:p>
          <w:p w:rsidR="00040D93" w:rsidRPr="0078553B" w:rsidRDefault="00040D93" w:rsidP="00040D93">
            <w:pPr>
              <w:pStyle w:val="Paragraphedeliste"/>
              <w:numPr>
                <w:ilvl w:val="0"/>
                <w:numId w:val="1"/>
              </w:numPr>
              <w:rPr>
                <w:noProof/>
              </w:rPr>
            </w:pPr>
            <w:r w:rsidRPr="00040D93">
              <w:rPr>
                <w:rFonts w:eastAsia="Calibri"/>
                <w:lang w:val="en-US"/>
              </w:rPr>
              <w:t>Re-word to clarify that the CYP1A2 enzyme is necessary, but its induction is not.  (i.e. not alternate CYP1A2-independent pathway, but alternate pathway independent if CYP1A2 induction</w:t>
            </w:r>
            <w:r w:rsidRPr="00040D93">
              <w:rPr>
                <w:rFonts w:eastAsia="Calibri"/>
                <w:lang w:val="en-US"/>
              </w:rPr>
              <w:sym w:font="Wingdings" w:char="F0E0"/>
            </w:r>
            <w:r w:rsidRPr="00040D93">
              <w:rPr>
                <w:rFonts w:eastAsia="Calibri"/>
                <w:lang w:val="en-US"/>
              </w:rPr>
              <w:t xml:space="preserve"> may not be an alternate pathway at all, but the same pathway potentiated by iron; which will make more sense once iron is added as a modulating factor)</w:t>
            </w:r>
          </w:p>
        </w:tc>
      </w:tr>
      <w:tr w:rsidR="00040D93" w:rsidTr="008C513B">
        <w:tc>
          <w:tcPr>
            <w:tcW w:w="1101" w:type="dxa"/>
          </w:tcPr>
          <w:p w:rsidR="00040D93" w:rsidRPr="00996DA2" w:rsidRDefault="00040D93" w:rsidP="008C513B">
            <w:pPr>
              <w:spacing w:line="360" w:lineRule="auto"/>
              <w:rPr>
                <w:b/>
                <w:noProof/>
              </w:rPr>
            </w:pPr>
            <w:r w:rsidRPr="00996DA2">
              <w:rPr>
                <w:b/>
                <w:noProof/>
              </w:rPr>
              <w:t>Changes</w:t>
            </w:r>
          </w:p>
        </w:tc>
        <w:tc>
          <w:tcPr>
            <w:tcW w:w="8475" w:type="dxa"/>
          </w:tcPr>
          <w:p w:rsidR="00040D93" w:rsidRDefault="003C54E3" w:rsidP="00040D93">
            <w:pPr>
              <w:pStyle w:val="Paragraphedeliste"/>
              <w:numPr>
                <w:ilvl w:val="0"/>
                <w:numId w:val="3"/>
              </w:numPr>
              <w:rPr>
                <w:noProof/>
              </w:rPr>
            </w:pPr>
            <w:r>
              <w:rPr>
                <w:noProof/>
              </w:rPr>
              <w:t>I added some precisions</w:t>
            </w:r>
            <w:r w:rsidR="00566A6D">
              <w:rPr>
                <w:noProof/>
              </w:rPr>
              <w:t xml:space="preserve"> about the effect of the triple knock-out</w:t>
            </w:r>
            <w:r>
              <w:rPr>
                <w:noProof/>
              </w:rPr>
              <w:t xml:space="preserve">. </w:t>
            </w:r>
            <w:r w:rsidR="00566A6D">
              <w:rPr>
                <w:noProof/>
              </w:rPr>
              <w:t xml:space="preserve">I also specified that this knock-out can induce UROX leading to porphyria. This precision (“leading to porphyria”) is important since UROX was repeatidly shown to occur in absence of CYP1A2. However, except for </w:t>
            </w:r>
            <w:r w:rsidR="00DA469C">
              <w:rPr>
                <w:noProof/>
              </w:rPr>
              <w:t xml:space="preserve">this specific triple knock-out experiment, CYP1A2 is required for the development of porphyria. </w:t>
            </w:r>
            <w:r>
              <w:rPr>
                <w:noProof/>
              </w:rPr>
              <w:t>See bold text 4.1.</w:t>
            </w:r>
          </w:p>
          <w:p w:rsidR="003C54E3" w:rsidRDefault="00566A6D" w:rsidP="003C54E3">
            <w:pPr>
              <w:pStyle w:val="Paragraphedeliste"/>
              <w:numPr>
                <w:ilvl w:val="0"/>
                <w:numId w:val="3"/>
              </w:numPr>
              <w:rPr>
                <w:noProof/>
              </w:rPr>
            </w:pPr>
            <w:r>
              <w:rPr>
                <w:noProof/>
              </w:rPr>
              <w:t xml:space="preserve">The </w:t>
            </w:r>
            <w:r w:rsidR="00DA469C">
              <w:rPr>
                <w:noProof/>
              </w:rPr>
              <w:t xml:space="preserve">fact that UROX can occur in absence of CYP1A2 is detailed in the Uncertainties section of KER868. See text 4.2. </w:t>
            </w:r>
          </w:p>
        </w:tc>
      </w:tr>
    </w:tbl>
    <w:p w:rsidR="003C54E3" w:rsidRDefault="003C54E3"/>
    <w:p w:rsidR="003C54E3" w:rsidRDefault="003C54E3">
      <w:pPr>
        <w:rPr>
          <w:b/>
        </w:rPr>
      </w:pPr>
      <w:r w:rsidRPr="003C54E3">
        <w:rPr>
          <w:b/>
        </w:rPr>
        <w:t>Text 4.1</w:t>
      </w:r>
      <w:r>
        <w:rPr>
          <w:b/>
        </w:rPr>
        <w:t xml:space="preserve"> Precision on conditions of experiment</w:t>
      </w:r>
    </w:p>
    <w:p w:rsidR="003C54E3" w:rsidRPr="003C54E3" w:rsidRDefault="003C54E3">
      <w:pPr>
        <w:rPr>
          <w:b/>
        </w:rPr>
      </w:pPr>
    </w:p>
    <w:p w:rsidR="000E72B6" w:rsidRDefault="003C54E3">
      <w:r>
        <w:t>Phillips et al.</w:t>
      </w:r>
      <w:hyperlink r:id="rId14" w:anchor="cite_note-Phillips2011-11" w:history="1">
        <w:r>
          <w:rPr>
            <w:rStyle w:val="Lienhypertexte"/>
            <w:vertAlign w:val="superscript"/>
          </w:rPr>
          <w:t>[11]</w:t>
        </w:r>
      </w:hyperlink>
      <w:r>
        <w:t xml:space="preserve"> were able to generate </w:t>
      </w:r>
      <w:proofErr w:type="spellStart"/>
      <w:r>
        <w:t>uroporphyria</w:t>
      </w:r>
      <w:proofErr w:type="spellEnd"/>
      <w:r>
        <w:t xml:space="preserve"> in a Cyp1A2-/- mouse model that is genetically predisposed </w:t>
      </w:r>
      <w:r w:rsidRPr="003C54E3">
        <w:rPr>
          <w:b/>
        </w:rPr>
        <w:t>(</w:t>
      </w:r>
      <w:proofErr w:type="spellStart"/>
      <w:r w:rsidRPr="003C54E3">
        <w:rPr>
          <w:b/>
        </w:rPr>
        <w:t>Hfe</w:t>
      </w:r>
      <w:proofErr w:type="spellEnd"/>
      <w:r w:rsidRPr="003C54E3">
        <w:rPr>
          <w:b/>
        </w:rPr>
        <w:t xml:space="preserve">-/-, </w:t>
      </w:r>
      <w:proofErr w:type="spellStart"/>
      <w:r w:rsidRPr="003C54E3">
        <w:rPr>
          <w:b/>
        </w:rPr>
        <w:t>Urod</w:t>
      </w:r>
      <w:proofErr w:type="spellEnd"/>
      <w:r w:rsidRPr="003C54E3">
        <w:rPr>
          <w:b/>
        </w:rPr>
        <w:t>-/+, which translates into intrinsic iron-overload and reduced UROD activity)</w:t>
      </w:r>
      <w:r>
        <w:t xml:space="preserve"> to develop porphyria in the absence of external stimuli; CYP1A2 knockout alone prevented porphyrin accumulation, but with the addition of iron and ALA to the triple knockout, modest porphyria was observed. Therefore, under extreme </w:t>
      </w:r>
      <w:proofErr w:type="spellStart"/>
      <w:r>
        <w:t>porphyric</w:t>
      </w:r>
      <w:proofErr w:type="spellEnd"/>
      <w:r>
        <w:t xml:space="preserve"> conditions, </w:t>
      </w:r>
      <w:r w:rsidRPr="00566A6D">
        <w:rPr>
          <w:b/>
        </w:rPr>
        <w:t>UROX</w:t>
      </w:r>
      <w:r w:rsidR="00566A6D" w:rsidRPr="00566A6D">
        <w:rPr>
          <w:b/>
        </w:rPr>
        <w:t xml:space="preserve"> leading to porphyria</w:t>
      </w:r>
      <w:r>
        <w:t xml:space="preserve"> can occur in the absence of the CYP1A2 enzyme.</w:t>
      </w:r>
    </w:p>
    <w:p w:rsidR="00DA469C" w:rsidRDefault="00DA469C"/>
    <w:p w:rsidR="00DA469C" w:rsidRPr="00DA469C" w:rsidRDefault="00DA469C">
      <w:pPr>
        <w:rPr>
          <w:b/>
        </w:rPr>
      </w:pPr>
      <w:r w:rsidRPr="00DA469C">
        <w:rPr>
          <w:b/>
        </w:rPr>
        <w:t>Text 4.2. Uncertainties for KER868</w:t>
      </w:r>
    </w:p>
    <w:p w:rsidR="00DA469C" w:rsidRDefault="00DA469C"/>
    <w:p w:rsidR="00DA469C" w:rsidRPr="00CD61EE" w:rsidRDefault="00DA469C" w:rsidP="00DA469C">
      <w:pPr>
        <w:pStyle w:val="NormalWeb"/>
        <w:shd w:val="clear" w:color="auto" w:fill="FFFFFF"/>
        <w:spacing w:before="0" w:beforeAutospacing="0" w:after="150" w:afterAutospacing="0"/>
        <w:jc w:val="both"/>
        <w:rPr>
          <w:sz w:val="22"/>
          <w:szCs w:val="22"/>
        </w:rPr>
      </w:pPr>
      <w:r w:rsidRPr="00CD61EE">
        <w:rPr>
          <w:sz w:val="22"/>
          <w:szCs w:val="22"/>
        </w:rPr>
        <w:t>It is worth noting that Cyp1a2(-/-) knockout mice have up to 40% of the UROX activity of Cyp1a2(+/+) mice</w:t>
      </w:r>
      <w:hyperlink r:id="rId15" w:tgtFrame="_self" w:history="1">
        <w:r w:rsidRPr="00CD61EE">
          <w:rPr>
            <w:rStyle w:val="Lienhypertexte"/>
            <w:color w:val="auto"/>
            <w:sz w:val="22"/>
            <w:szCs w:val="22"/>
            <w:vertAlign w:val="superscript"/>
          </w:rPr>
          <w:t>[7]</w:t>
        </w:r>
      </w:hyperlink>
      <w:r w:rsidRPr="00CD61EE">
        <w:rPr>
          <w:sz w:val="22"/>
          <w:szCs w:val="22"/>
        </w:rPr>
        <w:t>, suggesting that some UROX activity is CYP1A2-independent. Likewise, transfection of human Cyp1a1,</w:t>
      </w:r>
      <w:r w:rsidRPr="00CD61EE">
        <w:rPr>
          <w:rStyle w:val="Accentuation"/>
          <w:sz w:val="22"/>
          <w:szCs w:val="22"/>
        </w:rPr>
        <w:t> </w:t>
      </w:r>
      <w:r w:rsidRPr="00CD61EE">
        <w:rPr>
          <w:sz w:val="22"/>
          <w:szCs w:val="22"/>
        </w:rPr>
        <w:t>Cyp3a4, Cyp3a5, or Cyp2e1 in insect cells resulted in UROX activity</w:t>
      </w:r>
      <w:hyperlink r:id="rId16" w:tgtFrame="_self" w:history="1">
        <w:r w:rsidRPr="00CD61EE">
          <w:rPr>
            <w:rStyle w:val="Lienhypertexte"/>
            <w:color w:val="auto"/>
            <w:sz w:val="22"/>
            <w:szCs w:val="22"/>
            <w:vertAlign w:val="superscript"/>
          </w:rPr>
          <w:t>[10]</w:t>
        </w:r>
      </w:hyperlink>
      <w:r w:rsidRPr="00CD61EE">
        <w:rPr>
          <w:sz w:val="22"/>
          <w:szCs w:val="22"/>
        </w:rPr>
        <w:t>, suggesting that UROX can be catalyzed by other CYPs than CYP1A2 both in mouse and human. Additionally, iron overload or other induced pathways can potentially induce UROX</w:t>
      </w:r>
      <w:r w:rsidRPr="00CD61EE">
        <w:rPr>
          <w:sz w:val="22"/>
          <w:szCs w:val="22"/>
          <w:vertAlign w:val="superscript"/>
        </w:rPr>
        <w:t> [</w:t>
      </w:r>
      <w:hyperlink r:id="rId17" w:anchor="13-0" w:history="1">
        <w:r w:rsidRPr="00CD61EE">
          <w:rPr>
            <w:rStyle w:val="Lienhypertexte"/>
            <w:color w:val="auto"/>
            <w:sz w:val="22"/>
            <w:szCs w:val="22"/>
            <w:vertAlign w:val="superscript"/>
          </w:rPr>
          <w:t>13]</w:t>
        </w:r>
      </w:hyperlink>
      <w:r w:rsidRPr="00CD61EE">
        <w:rPr>
          <w:sz w:val="22"/>
          <w:szCs w:val="22"/>
        </w:rPr>
        <w:t>. However, it was shown in mice that only CYP1A2-dependent UROX activity is associated with UROD inhibition</w:t>
      </w:r>
      <w:hyperlink r:id="rId18" w:tgtFrame="_self" w:history="1">
        <w:r w:rsidRPr="00CD61EE">
          <w:rPr>
            <w:rStyle w:val="Lienhypertexte"/>
            <w:color w:val="auto"/>
            <w:sz w:val="22"/>
            <w:szCs w:val="22"/>
            <w:vertAlign w:val="superscript"/>
          </w:rPr>
          <w:t>[7]</w:t>
        </w:r>
      </w:hyperlink>
      <w:r w:rsidRPr="00CD61EE">
        <w:rPr>
          <w:sz w:val="22"/>
          <w:szCs w:val="22"/>
        </w:rPr>
        <w:t>. No such experiment was conducted in human; therefore, uncertainties remain for that species. </w:t>
      </w:r>
    </w:p>
    <w:p w:rsidR="00DA469C" w:rsidRPr="00CD61EE" w:rsidRDefault="00DA469C" w:rsidP="00DA469C">
      <w:pPr>
        <w:pStyle w:val="NormalWeb"/>
        <w:shd w:val="clear" w:color="auto" w:fill="FFFFFF"/>
        <w:spacing w:before="0" w:beforeAutospacing="0" w:after="150" w:afterAutospacing="0"/>
        <w:jc w:val="both"/>
        <w:rPr>
          <w:sz w:val="22"/>
          <w:szCs w:val="22"/>
        </w:rPr>
      </w:pPr>
      <w:r w:rsidRPr="00CD61EE">
        <w:rPr>
          <w:sz w:val="22"/>
          <w:szCs w:val="22"/>
        </w:rPr>
        <w:t xml:space="preserve">In mice, TCDD can elicit </w:t>
      </w:r>
      <w:proofErr w:type="spellStart"/>
      <w:r w:rsidRPr="00CD61EE">
        <w:rPr>
          <w:sz w:val="22"/>
          <w:szCs w:val="22"/>
        </w:rPr>
        <w:t>AhR</w:t>
      </w:r>
      <w:proofErr w:type="spellEnd"/>
      <w:r w:rsidRPr="00CD61EE">
        <w:rPr>
          <w:sz w:val="22"/>
          <w:szCs w:val="22"/>
        </w:rPr>
        <w:t>-dependent, CYP1A1/A2-independent mitochondrial ROS production suggesting that general oxidative stress induced independently of CYP1A2 induction may contribute to the resulting overall UROX by TCDD </w:t>
      </w:r>
      <w:r w:rsidRPr="00CD61EE">
        <w:rPr>
          <w:sz w:val="22"/>
          <w:szCs w:val="22"/>
          <w:vertAlign w:val="superscript"/>
        </w:rPr>
        <w:t>[</w:t>
      </w:r>
      <w:hyperlink r:id="rId19" w:anchor="13-0" w:history="1">
        <w:r w:rsidRPr="00CD61EE">
          <w:rPr>
            <w:rStyle w:val="Lienhypertexte"/>
            <w:color w:val="auto"/>
            <w:sz w:val="22"/>
            <w:szCs w:val="22"/>
            <w:vertAlign w:val="superscript"/>
          </w:rPr>
          <w:t>14]</w:t>
        </w:r>
      </w:hyperlink>
      <w:r w:rsidRPr="00CD61EE">
        <w:rPr>
          <w:sz w:val="22"/>
          <w:szCs w:val="22"/>
        </w:rPr>
        <w:t>.  </w:t>
      </w:r>
    </w:p>
    <w:p w:rsidR="00DA469C" w:rsidRPr="00CD61EE" w:rsidRDefault="00DA469C" w:rsidP="00DA469C">
      <w:pPr>
        <w:pStyle w:val="NormalWeb"/>
        <w:shd w:val="clear" w:color="auto" w:fill="FFFFFF"/>
        <w:spacing w:before="0" w:beforeAutospacing="0" w:after="150" w:afterAutospacing="0"/>
        <w:jc w:val="both"/>
        <w:rPr>
          <w:sz w:val="22"/>
          <w:szCs w:val="22"/>
        </w:rPr>
      </w:pPr>
      <w:r w:rsidRPr="00CD61EE">
        <w:rPr>
          <w:sz w:val="22"/>
          <w:szCs w:val="22"/>
        </w:rPr>
        <w:t>Phillips et al.</w:t>
      </w:r>
      <w:hyperlink r:id="rId20" w:anchor="cite_note-Phillips2011-11" w:history="1">
        <w:r w:rsidRPr="00CD61EE">
          <w:rPr>
            <w:rStyle w:val="Lienhypertexte"/>
            <w:color w:val="auto"/>
            <w:sz w:val="22"/>
            <w:szCs w:val="22"/>
            <w:vertAlign w:val="superscript"/>
          </w:rPr>
          <w:t>[11]</w:t>
        </w:r>
      </w:hyperlink>
      <w:r w:rsidRPr="00CD61EE">
        <w:rPr>
          <w:sz w:val="22"/>
          <w:szCs w:val="22"/>
        </w:rPr>
        <w:t xml:space="preserve"> were able to generate </w:t>
      </w:r>
      <w:proofErr w:type="spellStart"/>
      <w:r w:rsidRPr="00CD61EE">
        <w:rPr>
          <w:sz w:val="22"/>
          <w:szCs w:val="22"/>
        </w:rPr>
        <w:t>uroporphyria</w:t>
      </w:r>
      <w:proofErr w:type="spellEnd"/>
      <w:r w:rsidRPr="00CD61EE">
        <w:rPr>
          <w:sz w:val="22"/>
          <w:szCs w:val="22"/>
        </w:rPr>
        <w:t xml:space="preserve"> in a Cyp1A2-/- mouse model that is genetically predisposed (</w:t>
      </w:r>
      <w:proofErr w:type="spellStart"/>
      <w:r w:rsidRPr="00CD61EE">
        <w:rPr>
          <w:sz w:val="22"/>
          <w:szCs w:val="22"/>
        </w:rPr>
        <w:t>Hfe</w:t>
      </w:r>
      <w:proofErr w:type="spellEnd"/>
      <w:r w:rsidRPr="00CD61EE">
        <w:rPr>
          <w:sz w:val="22"/>
          <w:szCs w:val="22"/>
        </w:rPr>
        <w:t xml:space="preserve">-/-, </w:t>
      </w:r>
      <w:proofErr w:type="spellStart"/>
      <w:r w:rsidRPr="00CD61EE">
        <w:rPr>
          <w:sz w:val="22"/>
          <w:szCs w:val="22"/>
        </w:rPr>
        <w:t>Urod</w:t>
      </w:r>
      <w:proofErr w:type="spellEnd"/>
      <w:r w:rsidRPr="00CD61EE">
        <w:rPr>
          <w:sz w:val="22"/>
          <w:szCs w:val="22"/>
        </w:rPr>
        <w:t xml:space="preserve">-/+, which translates into intrinsic iron-overload and reduced UROD activity) to develop porphyria in the absence of external stimuli; CYP1A2 knockout alone prevented porphyrin accumulation, but with the addition of iron and ALA to the triple knockout, modest porphyria was observed. Therefore, under extreme </w:t>
      </w:r>
      <w:proofErr w:type="spellStart"/>
      <w:r w:rsidRPr="00CD61EE">
        <w:rPr>
          <w:sz w:val="22"/>
          <w:szCs w:val="22"/>
        </w:rPr>
        <w:t>porphyric</w:t>
      </w:r>
      <w:proofErr w:type="spellEnd"/>
      <w:r w:rsidRPr="00CD61EE">
        <w:rPr>
          <w:sz w:val="22"/>
          <w:szCs w:val="22"/>
        </w:rPr>
        <w:t xml:space="preserve"> conditions, UROX leading to porphyria can occur in the absence of the CYP1A2 enzyme.</w:t>
      </w:r>
    </w:p>
    <w:p w:rsidR="00DA469C" w:rsidRPr="00CD61EE" w:rsidRDefault="00DA469C" w:rsidP="00DA469C">
      <w:pPr>
        <w:pStyle w:val="NormalWeb"/>
        <w:shd w:val="clear" w:color="auto" w:fill="FFFFFF"/>
        <w:spacing w:before="0" w:beforeAutospacing="0" w:after="150" w:afterAutospacing="0"/>
        <w:jc w:val="both"/>
        <w:rPr>
          <w:sz w:val="22"/>
          <w:szCs w:val="22"/>
        </w:rPr>
      </w:pPr>
      <w:r w:rsidRPr="00CD61EE">
        <w:rPr>
          <w:sz w:val="22"/>
          <w:szCs w:val="22"/>
        </w:rPr>
        <w:lastRenderedPageBreak/>
        <w:t>Altogether, these results indicate that while CYP1A2 is a major catalysis of UROX activity, other CYPs and/or modulating factors are involved in the pathway.</w:t>
      </w:r>
    </w:p>
    <w:p w:rsidR="00DA469C" w:rsidRPr="00CD61EE" w:rsidRDefault="00DA469C">
      <w:pPr>
        <w:rPr>
          <w:lang w:val="en-US"/>
        </w:rPr>
      </w:pPr>
    </w:p>
    <w:p w:rsidR="00DA469C" w:rsidRDefault="00DA469C">
      <w:pPr>
        <w:tabs>
          <w:tab w:val="clear" w:pos="850"/>
          <w:tab w:val="clear" w:pos="1191"/>
          <w:tab w:val="clear" w:pos="1531"/>
        </w:tabs>
        <w:jc w:val="left"/>
      </w:pPr>
      <w:r>
        <w:br w:type="page"/>
      </w:r>
    </w:p>
    <w:p w:rsidR="000E72B6" w:rsidRDefault="000E72B6">
      <w:pPr>
        <w:tabs>
          <w:tab w:val="clear" w:pos="850"/>
          <w:tab w:val="clear" w:pos="1191"/>
          <w:tab w:val="clear" w:pos="1531"/>
        </w:tabs>
        <w:jc w:val="left"/>
      </w:pPr>
    </w:p>
    <w:tbl>
      <w:tblPr>
        <w:tblStyle w:val="Grilledutableau"/>
        <w:tblW w:w="0" w:type="auto"/>
        <w:tblLook w:val="04A0" w:firstRow="1" w:lastRow="0" w:firstColumn="1" w:lastColumn="0" w:noHBand="0" w:noVBand="1"/>
      </w:tblPr>
      <w:tblGrid>
        <w:gridCol w:w="1101"/>
        <w:gridCol w:w="8475"/>
      </w:tblGrid>
      <w:tr w:rsidR="000E72B6" w:rsidTr="008C513B">
        <w:tc>
          <w:tcPr>
            <w:tcW w:w="1101" w:type="dxa"/>
          </w:tcPr>
          <w:p w:rsidR="000E72B6" w:rsidRPr="00996DA2" w:rsidRDefault="000E72B6" w:rsidP="008C513B">
            <w:pPr>
              <w:rPr>
                <w:b/>
                <w:noProof/>
              </w:rPr>
            </w:pPr>
            <w:r w:rsidRPr="00996DA2">
              <w:rPr>
                <w:b/>
                <w:noProof/>
              </w:rPr>
              <w:t>Action items</w:t>
            </w:r>
          </w:p>
        </w:tc>
        <w:tc>
          <w:tcPr>
            <w:tcW w:w="8475" w:type="dxa"/>
          </w:tcPr>
          <w:p w:rsidR="000E72B6" w:rsidRDefault="000E72B6" w:rsidP="008C513B">
            <w:pPr>
              <w:rPr>
                <w:noProof/>
              </w:rPr>
            </w:pPr>
            <w:r w:rsidRPr="00307F78">
              <w:rPr>
                <w:rFonts w:eastAsia="Calibri"/>
                <w:lang w:val="en-US"/>
              </w:rPr>
              <w:t xml:space="preserve">5) Authors to propose changes in the Biological Plausibility section of KER865 that would include the uncertainty regarding in vivo evidence for uroporphyrinogen oxidation leading to UROD inhibition.  </w:t>
            </w:r>
          </w:p>
        </w:tc>
      </w:tr>
      <w:tr w:rsidR="000E72B6" w:rsidTr="008C513B">
        <w:tc>
          <w:tcPr>
            <w:tcW w:w="1101" w:type="dxa"/>
          </w:tcPr>
          <w:p w:rsidR="000E72B6" w:rsidRPr="00996DA2" w:rsidRDefault="000E72B6" w:rsidP="008C513B">
            <w:pPr>
              <w:rPr>
                <w:b/>
                <w:noProof/>
              </w:rPr>
            </w:pPr>
            <w:r w:rsidRPr="00996DA2">
              <w:rPr>
                <w:b/>
                <w:noProof/>
              </w:rPr>
              <w:t>Intended changes</w:t>
            </w:r>
          </w:p>
        </w:tc>
        <w:tc>
          <w:tcPr>
            <w:tcW w:w="8475" w:type="dxa"/>
          </w:tcPr>
          <w:p w:rsidR="000E72B6" w:rsidRPr="000E72B6" w:rsidRDefault="000E72B6" w:rsidP="000E72B6">
            <w:pPr>
              <w:tabs>
                <w:tab w:val="clear" w:pos="850"/>
                <w:tab w:val="clear" w:pos="1191"/>
                <w:tab w:val="clear" w:pos="1531"/>
              </w:tabs>
              <w:contextualSpacing/>
              <w:jc w:val="left"/>
              <w:rPr>
                <w:rFonts w:eastAsia="Calibri"/>
                <w:lang w:val="en-US"/>
              </w:rPr>
            </w:pPr>
            <w:r w:rsidRPr="000E72B6">
              <w:rPr>
                <w:rFonts w:eastAsia="Calibri"/>
                <w:lang w:val="en-US"/>
              </w:rPr>
              <w:t>(865=UROX</w:t>
            </w:r>
            <w:r w:rsidRPr="000E72B6">
              <w:rPr>
                <w:rFonts w:eastAsia="Calibri"/>
                <w:lang w:val="en-US"/>
              </w:rPr>
              <w:sym w:font="Wingdings" w:char="F0E0"/>
            </w:r>
            <w:r w:rsidRPr="000E72B6">
              <w:rPr>
                <w:rFonts w:eastAsia="Calibri"/>
                <w:lang w:val="en-US"/>
              </w:rPr>
              <w:t xml:space="preserve">UROD </w:t>
            </w:r>
            <w:proofErr w:type="spellStart"/>
            <w:r w:rsidRPr="000E72B6">
              <w:rPr>
                <w:rFonts w:eastAsia="Calibri"/>
                <w:lang w:val="en-US"/>
              </w:rPr>
              <w:t>inhib</w:t>
            </w:r>
            <w:proofErr w:type="spellEnd"/>
            <w:r w:rsidRPr="000E72B6">
              <w:rPr>
                <w:rFonts w:eastAsia="Calibri"/>
                <w:lang w:val="en-US"/>
              </w:rPr>
              <w:t>.)</w:t>
            </w:r>
          </w:p>
          <w:p w:rsidR="000E72B6" w:rsidRPr="000E72B6" w:rsidRDefault="000E72B6" w:rsidP="000E72B6">
            <w:pPr>
              <w:numPr>
                <w:ilvl w:val="0"/>
                <w:numId w:val="1"/>
              </w:numPr>
              <w:tabs>
                <w:tab w:val="clear" w:pos="850"/>
                <w:tab w:val="clear" w:pos="1191"/>
                <w:tab w:val="clear" w:pos="1531"/>
              </w:tabs>
              <w:contextualSpacing/>
              <w:jc w:val="left"/>
              <w:rPr>
                <w:rFonts w:eastAsia="Calibri"/>
                <w:lang w:val="en-US"/>
              </w:rPr>
            </w:pPr>
            <w:r w:rsidRPr="000E72B6">
              <w:rPr>
                <w:rFonts w:eastAsia="Calibri"/>
                <w:lang w:val="en-US"/>
              </w:rPr>
              <w:t>Expand on uncertainties</w:t>
            </w:r>
          </w:p>
          <w:p w:rsidR="000E72B6" w:rsidRPr="000E72B6" w:rsidRDefault="000E72B6" w:rsidP="000E72B6">
            <w:pPr>
              <w:numPr>
                <w:ilvl w:val="1"/>
                <w:numId w:val="1"/>
              </w:numPr>
              <w:tabs>
                <w:tab w:val="clear" w:pos="850"/>
                <w:tab w:val="clear" w:pos="1191"/>
                <w:tab w:val="clear" w:pos="1531"/>
              </w:tabs>
              <w:contextualSpacing/>
              <w:jc w:val="left"/>
              <w:rPr>
                <w:rFonts w:eastAsia="Calibri"/>
                <w:lang w:val="en-US"/>
              </w:rPr>
            </w:pPr>
            <w:r w:rsidRPr="000E72B6">
              <w:rPr>
                <w:rFonts w:eastAsia="Calibri"/>
                <w:lang w:val="en-US"/>
              </w:rPr>
              <w:t>Not clear whether CYP1A2 directly or indirectly produces an UROD inhibitor via uroporphyrinogen oxidation, or reactive oxygen species generated from iron overload or other induced pathways can also potentially induce UROX.</w:t>
            </w:r>
          </w:p>
          <w:p w:rsidR="000E72B6" w:rsidRPr="000E72B6" w:rsidRDefault="000E72B6" w:rsidP="000E72B6">
            <w:pPr>
              <w:pStyle w:val="Paragraphedeliste"/>
              <w:numPr>
                <w:ilvl w:val="0"/>
                <w:numId w:val="1"/>
              </w:numPr>
              <w:rPr>
                <w:noProof/>
              </w:rPr>
            </w:pPr>
            <w:r w:rsidRPr="000E72B6">
              <w:rPr>
                <w:rFonts w:eastAsia="Calibri"/>
                <w:lang w:val="en-US"/>
              </w:rPr>
              <w:t>Lack of evidence in vivo, in which other pathways may be more relev</w:t>
            </w:r>
            <w:r>
              <w:rPr>
                <w:rFonts w:eastAsia="Calibri"/>
                <w:lang w:val="en-US"/>
              </w:rPr>
              <w:t>a</w:t>
            </w:r>
            <w:r w:rsidRPr="000E72B6">
              <w:rPr>
                <w:rFonts w:eastAsia="Calibri"/>
                <w:lang w:val="en-US"/>
              </w:rPr>
              <w:t>nt</w:t>
            </w:r>
          </w:p>
        </w:tc>
      </w:tr>
      <w:tr w:rsidR="000E72B6" w:rsidTr="008C513B">
        <w:tc>
          <w:tcPr>
            <w:tcW w:w="1101" w:type="dxa"/>
          </w:tcPr>
          <w:p w:rsidR="000E72B6" w:rsidRPr="00996DA2" w:rsidRDefault="000E72B6" w:rsidP="008C513B">
            <w:pPr>
              <w:spacing w:line="360" w:lineRule="auto"/>
              <w:rPr>
                <w:b/>
                <w:noProof/>
              </w:rPr>
            </w:pPr>
            <w:r w:rsidRPr="00996DA2">
              <w:rPr>
                <w:b/>
                <w:noProof/>
              </w:rPr>
              <w:t>Changes</w:t>
            </w:r>
          </w:p>
        </w:tc>
        <w:tc>
          <w:tcPr>
            <w:tcW w:w="8475" w:type="dxa"/>
          </w:tcPr>
          <w:p w:rsidR="000E72B6" w:rsidRDefault="000E72B6" w:rsidP="008C513B">
            <w:pPr>
              <w:pStyle w:val="Paragraphedeliste"/>
              <w:numPr>
                <w:ilvl w:val="0"/>
                <w:numId w:val="3"/>
              </w:numPr>
              <w:rPr>
                <w:noProof/>
              </w:rPr>
            </w:pPr>
            <w:r>
              <w:rPr>
                <w:noProof/>
              </w:rPr>
              <w:t xml:space="preserve">Uncertainties were modified. See text 5.1. </w:t>
            </w:r>
            <w:r>
              <w:t xml:space="preserve"> </w:t>
            </w:r>
          </w:p>
        </w:tc>
      </w:tr>
    </w:tbl>
    <w:p w:rsidR="00040D93" w:rsidRDefault="00040D93">
      <w:pPr>
        <w:rPr>
          <w:b/>
        </w:rPr>
      </w:pPr>
    </w:p>
    <w:p w:rsidR="000E72B6" w:rsidRPr="000E72B6" w:rsidRDefault="000E72B6" w:rsidP="000E72B6">
      <w:pPr>
        <w:pStyle w:val="NormalWeb"/>
        <w:jc w:val="both"/>
        <w:rPr>
          <w:b/>
          <w:sz w:val="22"/>
        </w:rPr>
      </w:pPr>
      <w:r w:rsidRPr="000E72B6">
        <w:rPr>
          <w:b/>
          <w:sz w:val="22"/>
        </w:rPr>
        <w:t>Text 5.1. Uncertainties on KER865</w:t>
      </w:r>
    </w:p>
    <w:p w:rsidR="00DA469C" w:rsidRDefault="00DA469C" w:rsidP="00DA469C">
      <w:pPr>
        <w:rPr>
          <w:rFonts w:eastAsia="Calibri"/>
          <w:sz w:val="24"/>
          <w:lang w:val="en-US"/>
        </w:rPr>
      </w:pPr>
      <w:r>
        <w:rPr>
          <w:rFonts w:eastAsia="Calibri"/>
        </w:rPr>
        <w:t xml:space="preserve">The precise mechanism of UROD inhibition has yet to be identified. It could be a direct or indirect inhibition via an oxidized uroporphyrinogen generated by CYP1A2 or reactive oxygen species derived from iron overload, or other induced pathways. </w:t>
      </w:r>
    </w:p>
    <w:p w:rsidR="000E72B6" w:rsidRPr="000E72B6" w:rsidRDefault="000E72B6" w:rsidP="000E72B6">
      <w:pPr>
        <w:pStyle w:val="NormalWeb"/>
        <w:jc w:val="both"/>
        <w:rPr>
          <w:sz w:val="22"/>
        </w:rPr>
      </w:pPr>
      <w:r w:rsidRPr="000E72B6">
        <w:rPr>
          <w:sz w:val="22"/>
        </w:rPr>
        <w:t xml:space="preserve">The characterization of the inhibitor isolated by Phillips </w:t>
      </w:r>
      <w:r w:rsidRPr="000E72B6">
        <w:rPr>
          <w:rStyle w:val="Accentuation"/>
          <w:sz w:val="22"/>
        </w:rPr>
        <w:t>et al</w:t>
      </w:r>
      <w:r w:rsidRPr="000E72B6">
        <w:rPr>
          <w:sz w:val="22"/>
        </w:rPr>
        <w:t>.</w:t>
      </w:r>
      <w:hyperlink r:id="rId21" w:anchor="cite_note-Phillips2007-1" w:history="1">
        <w:r w:rsidRPr="000E72B6">
          <w:rPr>
            <w:rStyle w:val="Lienhypertexte"/>
            <w:sz w:val="22"/>
            <w:vertAlign w:val="superscript"/>
          </w:rPr>
          <w:t>[1]</w:t>
        </w:r>
      </w:hyperlink>
      <w:r w:rsidRPr="000E72B6">
        <w:rPr>
          <w:sz w:val="22"/>
        </w:rPr>
        <w:t xml:space="preserve"> has been criticized by Danton and Lim</w:t>
      </w:r>
      <w:hyperlink r:id="rId22" w:anchor="cite_note-Danton2007-8" w:history="1">
        <w:r w:rsidRPr="000E72B6">
          <w:rPr>
            <w:rStyle w:val="Lienhypertexte"/>
            <w:sz w:val="22"/>
            <w:vertAlign w:val="superscript"/>
          </w:rPr>
          <w:t>[8]</w:t>
        </w:r>
      </w:hyperlink>
      <w:r w:rsidRPr="000E72B6">
        <w:rPr>
          <w:sz w:val="22"/>
        </w:rPr>
        <w:t>. Namely, they claim that the high-performance liquid chromatography/electrospray ionization tandem mass spectrometry results were interpreted incorrectly. They analyzed the fragmentation pattern themselves, and concluded that the compound is not a tetrapyrrole or an uroporphyrinogen or uroporphyrin related molecule, but rather a poly(ethylene glycol) structure. The expected chemical instability of the inhibitor – a partially oxidized porphyrinogens that bear unsubstituted methylene group(s) at the </w:t>
      </w:r>
      <w:r w:rsidRPr="000E72B6">
        <w:rPr>
          <w:rStyle w:val="Accentuation"/>
          <w:sz w:val="22"/>
        </w:rPr>
        <w:t>meso</w:t>
      </w:r>
      <w:r w:rsidRPr="000E72B6">
        <w:rPr>
          <w:sz w:val="22"/>
        </w:rPr>
        <w:t> position –</w:t>
      </w:r>
      <w:r w:rsidR="00DA469C">
        <w:rPr>
          <w:sz w:val="22"/>
        </w:rPr>
        <w:t xml:space="preserve"> </w:t>
      </w:r>
      <w:r w:rsidRPr="000E72B6">
        <w:rPr>
          <w:sz w:val="22"/>
        </w:rPr>
        <w:t>might play an important role in the difficulty to characterize it</w:t>
      </w:r>
      <w:r>
        <w:rPr>
          <w:sz w:val="22"/>
        </w:rPr>
        <w:t xml:space="preserve"> </w:t>
      </w:r>
      <w:hyperlink r:id="rId23" w:anchor="cite_note-Phillips2007-1" w:history="1">
        <w:r w:rsidRPr="000E72B6">
          <w:rPr>
            <w:rStyle w:val="Lienhypertexte"/>
            <w:sz w:val="22"/>
            <w:vertAlign w:val="superscript"/>
          </w:rPr>
          <w:t>[</w:t>
        </w:r>
        <w:r>
          <w:rPr>
            <w:rStyle w:val="Lienhypertexte"/>
            <w:sz w:val="22"/>
            <w:vertAlign w:val="superscript"/>
          </w:rPr>
          <w:t>9</w:t>
        </w:r>
        <w:r w:rsidRPr="000E72B6">
          <w:rPr>
            <w:rStyle w:val="Lienhypertexte"/>
            <w:sz w:val="22"/>
            <w:vertAlign w:val="superscript"/>
          </w:rPr>
          <w:t>]</w:t>
        </w:r>
      </w:hyperlink>
      <w:r w:rsidRPr="000E72B6">
        <w:rPr>
          <w:sz w:val="22"/>
        </w:rPr>
        <w:t>. </w:t>
      </w:r>
    </w:p>
    <w:p w:rsidR="00DD3F82" w:rsidRDefault="000E72B6" w:rsidP="000E72B6">
      <w:pPr>
        <w:pStyle w:val="NormalWeb"/>
        <w:jc w:val="both"/>
        <w:rPr>
          <w:sz w:val="22"/>
        </w:rPr>
      </w:pPr>
      <w:proofErr w:type="spellStart"/>
      <w:r w:rsidRPr="000E72B6">
        <w:rPr>
          <w:sz w:val="22"/>
        </w:rPr>
        <w:t>Porphodimethene</w:t>
      </w:r>
      <w:proofErr w:type="spellEnd"/>
      <w:r w:rsidRPr="000E72B6">
        <w:rPr>
          <w:sz w:val="22"/>
        </w:rPr>
        <w:t> inhibitor 16 (PI-16), a synthetic inhibitor of UROD, was developed based on its similarity to coproporphyrinogen, uroporphyrinogen, and the previously suggested endogenous inhibitor</w:t>
      </w:r>
      <w:r w:rsidR="00DA469C">
        <w:rPr>
          <w:sz w:val="22"/>
        </w:rPr>
        <w:t xml:space="preserve"> of UROD </w:t>
      </w:r>
      <w:r w:rsidRPr="000E72B6">
        <w:rPr>
          <w:sz w:val="22"/>
          <w:u w:val="single"/>
          <w:vertAlign w:val="superscript"/>
        </w:rPr>
        <w:t>[</w:t>
      </w:r>
      <w:r w:rsidR="00DA469C">
        <w:rPr>
          <w:sz w:val="22"/>
          <w:u w:val="single"/>
          <w:vertAlign w:val="superscript"/>
        </w:rPr>
        <w:t>9</w:t>
      </w:r>
      <w:r w:rsidRPr="000E72B6">
        <w:rPr>
          <w:sz w:val="22"/>
          <w:u w:val="single"/>
          <w:vertAlign w:val="superscript"/>
        </w:rPr>
        <w:t>]</w:t>
      </w:r>
      <w:r w:rsidRPr="000E72B6">
        <w:rPr>
          <w:sz w:val="22"/>
        </w:rPr>
        <w:t>. This molecule directly interacts with UROD to specifically and effectively inhibit its activity. PI-16 structural similarity to an oxidized uroporphyrinogen including the suggested endogenous inhibitor supports the hypothesis of an oxidized uroporphyrinogen</w:t>
      </w:r>
      <w:r>
        <w:rPr>
          <w:sz w:val="22"/>
        </w:rPr>
        <w:t xml:space="preserve"> as endogenous UROD inhibitor. </w:t>
      </w:r>
    </w:p>
    <w:p w:rsidR="00DD3F82" w:rsidRDefault="00DD3F82">
      <w:pPr>
        <w:tabs>
          <w:tab w:val="clear" w:pos="850"/>
          <w:tab w:val="clear" w:pos="1191"/>
          <w:tab w:val="clear" w:pos="1531"/>
        </w:tabs>
        <w:jc w:val="left"/>
        <w:rPr>
          <w:rFonts w:eastAsia="Times New Roman"/>
          <w:szCs w:val="24"/>
          <w:lang w:val="en-US"/>
        </w:rPr>
      </w:pPr>
      <w:r>
        <w:br w:type="page"/>
      </w:r>
    </w:p>
    <w:tbl>
      <w:tblPr>
        <w:tblStyle w:val="Grilledutableau"/>
        <w:tblW w:w="0" w:type="auto"/>
        <w:tblLook w:val="04A0" w:firstRow="1" w:lastRow="0" w:firstColumn="1" w:lastColumn="0" w:noHBand="0" w:noVBand="1"/>
      </w:tblPr>
      <w:tblGrid>
        <w:gridCol w:w="1101"/>
        <w:gridCol w:w="8475"/>
      </w:tblGrid>
      <w:tr w:rsidR="00DD3F82" w:rsidTr="008C513B">
        <w:tc>
          <w:tcPr>
            <w:tcW w:w="1101" w:type="dxa"/>
          </w:tcPr>
          <w:p w:rsidR="00DD3F82" w:rsidRPr="00996DA2" w:rsidRDefault="00DD3F82" w:rsidP="008C513B">
            <w:pPr>
              <w:rPr>
                <w:b/>
                <w:noProof/>
              </w:rPr>
            </w:pPr>
            <w:r w:rsidRPr="00996DA2">
              <w:rPr>
                <w:b/>
                <w:noProof/>
              </w:rPr>
              <w:lastRenderedPageBreak/>
              <w:t>Action items</w:t>
            </w:r>
          </w:p>
        </w:tc>
        <w:tc>
          <w:tcPr>
            <w:tcW w:w="8475" w:type="dxa"/>
          </w:tcPr>
          <w:p w:rsidR="00DD3F82" w:rsidRDefault="00D65FFD" w:rsidP="008C513B">
            <w:pPr>
              <w:rPr>
                <w:noProof/>
              </w:rPr>
            </w:pPr>
            <w:r w:rsidRPr="00307F78">
              <w:rPr>
                <w:rFonts w:eastAsia="Calibri"/>
                <w:lang w:val="en-US"/>
              </w:rPr>
              <w:t xml:space="preserve">6) Revisit the literature relevant to applicability of KER1070 (UROD </w:t>
            </w:r>
            <w:proofErr w:type="spellStart"/>
            <w:r w:rsidRPr="00307F78">
              <w:rPr>
                <w:rFonts w:eastAsia="Calibri"/>
                <w:lang w:val="en-US"/>
              </w:rPr>
              <w:t>inhib</w:t>
            </w:r>
            <w:proofErr w:type="spellEnd"/>
            <w:r w:rsidRPr="00307F78">
              <w:rPr>
                <w:rFonts w:eastAsia="Calibri"/>
                <w:lang w:val="en-US"/>
              </w:rPr>
              <w:t>.</w:t>
            </w:r>
            <w:r w:rsidRPr="00307F78">
              <w:rPr>
                <w:rFonts w:eastAsia="Calibri"/>
                <w:lang w:val="en-US"/>
              </w:rPr>
              <w:sym w:font="Wingdings" w:char="F0E0"/>
            </w:r>
            <w:r w:rsidRPr="00307F78">
              <w:rPr>
                <w:rFonts w:eastAsia="Calibri"/>
                <w:lang w:val="en-US"/>
              </w:rPr>
              <w:t xml:space="preserve">  HCP acc.) in various avian species and modify the relevant sections accordingly.</w:t>
            </w:r>
          </w:p>
        </w:tc>
      </w:tr>
      <w:tr w:rsidR="00D65FFD" w:rsidTr="008C513B">
        <w:tc>
          <w:tcPr>
            <w:tcW w:w="1101" w:type="dxa"/>
          </w:tcPr>
          <w:p w:rsidR="00D65FFD" w:rsidRPr="00996DA2" w:rsidRDefault="00D65FFD" w:rsidP="00D65FFD">
            <w:pPr>
              <w:rPr>
                <w:b/>
                <w:noProof/>
              </w:rPr>
            </w:pPr>
            <w:r w:rsidRPr="00996DA2">
              <w:rPr>
                <w:b/>
                <w:noProof/>
              </w:rPr>
              <w:t>Intended changes</w:t>
            </w:r>
          </w:p>
        </w:tc>
        <w:tc>
          <w:tcPr>
            <w:tcW w:w="8475" w:type="dxa"/>
          </w:tcPr>
          <w:p w:rsidR="00D65FFD" w:rsidRPr="00D65FFD" w:rsidRDefault="00D65FFD" w:rsidP="00D65FFD">
            <w:pPr>
              <w:numPr>
                <w:ilvl w:val="0"/>
                <w:numId w:val="9"/>
              </w:numPr>
              <w:tabs>
                <w:tab w:val="clear" w:pos="850"/>
                <w:tab w:val="clear" w:pos="1191"/>
                <w:tab w:val="clear" w:pos="1531"/>
              </w:tabs>
              <w:contextualSpacing/>
              <w:jc w:val="left"/>
              <w:rPr>
                <w:rFonts w:eastAsia="Calibri"/>
              </w:rPr>
            </w:pPr>
            <w:r w:rsidRPr="00D65FFD">
              <w:rPr>
                <w:rFonts w:eastAsia="Calibri"/>
              </w:rPr>
              <w:t>Change WOE call for chicken to low or medium (revisit literature to determine)</w:t>
            </w:r>
          </w:p>
          <w:p w:rsidR="00D65FFD" w:rsidRPr="00D65FFD" w:rsidRDefault="00D65FFD" w:rsidP="00D65FFD">
            <w:pPr>
              <w:numPr>
                <w:ilvl w:val="0"/>
                <w:numId w:val="9"/>
              </w:numPr>
              <w:tabs>
                <w:tab w:val="clear" w:pos="850"/>
                <w:tab w:val="clear" w:pos="1191"/>
                <w:tab w:val="clear" w:pos="1531"/>
              </w:tabs>
              <w:contextualSpacing/>
              <w:jc w:val="left"/>
              <w:rPr>
                <w:rFonts w:eastAsia="Calibri"/>
              </w:rPr>
            </w:pPr>
            <w:r w:rsidRPr="00D65FFD">
              <w:rPr>
                <w:rFonts w:eastAsia="Calibri"/>
              </w:rPr>
              <w:t>Expand on text about possibility that this KER is not applicable to Quail (and potentially other birds) based on in Lambrecht study</w:t>
            </w:r>
          </w:p>
          <w:p w:rsidR="00D65FFD" w:rsidRPr="00D65FFD" w:rsidRDefault="00D65FFD" w:rsidP="00D65FFD">
            <w:pPr>
              <w:numPr>
                <w:ilvl w:val="0"/>
                <w:numId w:val="9"/>
              </w:numPr>
              <w:tabs>
                <w:tab w:val="clear" w:pos="850"/>
                <w:tab w:val="clear" w:pos="1191"/>
                <w:tab w:val="clear" w:pos="1531"/>
              </w:tabs>
              <w:contextualSpacing/>
              <w:jc w:val="left"/>
              <w:rPr>
                <w:rFonts w:eastAsia="Calibri"/>
              </w:rPr>
            </w:pPr>
            <w:r w:rsidRPr="00D65FFD">
              <w:rPr>
                <w:rFonts w:eastAsia="Calibri"/>
              </w:rPr>
              <w:t>Also consider re-visiting overall WOE call for birds on AOP main page (and expand in taxonomic applicability text).</w:t>
            </w:r>
          </w:p>
        </w:tc>
      </w:tr>
      <w:tr w:rsidR="00D65FFD" w:rsidTr="008C513B">
        <w:tc>
          <w:tcPr>
            <w:tcW w:w="1101" w:type="dxa"/>
          </w:tcPr>
          <w:p w:rsidR="00D65FFD" w:rsidRPr="00996DA2" w:rsidRDefault="00D65FFD" w:rsidP="00D65FFD">
            <w:pPr>
              <w:spacing w:line="360" w:lineRule="auto"/>
              <w:rPr>
                <w:b/>
                <w:noProof/>
              </w:rPr>
            </w:pPr>
            <w:r w:rsidRPr="00996DA2">
              <w:rPr>
                <w:b/>
                <w:noProof/>
              </w:rPr>
              <w:t>Changes</w:t>
            </w:r>
          </w:p>
        </w:tc>
        <w:tc>
          <w:tcPr>
            <w:tcW w:w="8475" w:type="dxa"/>
          </w:tcPr>
          <w:p w:rsidR="00D65FFD" w:rsidRDefault="00D65FFD" w:rsidP="00D65FFD">
            <w:pPr>
              <w:pStyle w:val="Paragraphedeliste"/>
              <w:numPr>
                <w:ilvl w:val="0"/>
                <w:numId w:val="3"/>
              </w:numPr>
              <w:rPr>
                <w:noProof/>
              </w:rPr>
            </w:pPr>
            <w:r>
              <w:rPr>
                <w:noProof/>
              </w:rPr>
              <w:t xml:space="preserve">The WOE call for chicken was changed to moderate. </w:t>
            </w:r>
          </w:p>
          <w:p w:rsidR="00D65FFD" w:rsidRDefault="00A16B19" w:rsidP="00D65FFD">
            <w:pPr>
              <w:pStyle w:val="Paragraphedeliste"/>
              <w:numPr>
                <w:ilvl w:val="0"/>
                <w:numId w:val="3"/>
              </w:numPr>
              <w:rPr>
                <w:noProof/>
              </w:rPr>
            </w:pPr>
            <w:r>
              <w:rPr>
                <w:noProof/>
              </w:rPr>
              <w:t xml:space="preserve">The uncertainties were modified to include </w:t>
            </w:r>
            <w:r w:rsidR="005500E0">
              <w:rPr>
                <w:noProof/>
              </w:rPr>
              <w:t xml:space="preserve">of possible explaination for the </w:t>
            </w:r>
            <w:r w:rsidR="00E11924">
              <w:rPr>
                <w:noProof/>
              </w:rPr>
              <w:t xml:space="preserve">lack on consistency in UROD inhibition tested in avian. See text 6.1.  </w:t>
            </w:r>
            <w:r w:rsidR="000E7B73">
              <w:rPr>
                <w:noProof/>
              </w:rPr>
              <w:t xml:space="preserve"> </w:t>
            </w:r>
            <w:r w:rsidR="00D65FFD">
              <w:rPr>
                <w:noProof/>
              </w:rPr>
              <w:t xml:space="preserve">   </w:t>
            </w:r>
            <w:r w:rsidR="00D65FFD">
              <w:t xml:space="preserve"> </w:t>
            </w:r>
          </w:p>
          <w:p w:rsidR="00E11924" w:rsidRDefault="00E11924" w:rsidP="00D65FFD">
            <w:pPr>
              <w:pStyle w:val="Paragraphedeliste"/>
              <w:numPr>
                <w:ilvl w:val="0"/>
                <w:numId w:val="3"/>
              </w:numPr>
              <w:rPr>
                <w:noProof/>
              </w:rPr>
            </w:pPr>
            <w:r>
              <w:rPr>
                <w:noProof/>
              </w:rPr>
              <w:t xml:space="preserve">The overall WOE call for birds on AOP main page was modified for the Japanese quail that was set to Low. The other avain species are described as Moderate. The uncertainties regarding avians were added to the uncertainty section on the main AOP page. </w:t>
            </w:r>
          </w:p>
        </w:tc>
      </w:tr>
    </w:tbl>
    <w:p w:rsidR="000E72B6" w:rsidRPr="00E11924" w:rsidRDefault="00E11924" w:rsidP="000E72B6">
      <w:pPr>
        <w:pStyle w:val="NormalWeb"/>
        <w:jc w:val="both"/>
        <w:rPr>
          <w:b/>
          <w:sz w:val="22"/>
          <w:lang w:val="en-GB"/>
        </w:rPr>
      </w:pPr>
      <w:r w:rsidRPr="00E11924">
        <w:rPr>
          <w:b/>
          <w:sz w:val="22"/>
          <w:lang w:val="en-GB"/>
        </w:rPr>
        <w:t>Text 6.1. Uncertainties on KER1070</w:t>
      </w:r>
    </w:p>
    <w:p w:rsidR="0095413D" w:rsidRDefault="00D65FFD">
      <w:pPr>
        <w:rPr>
          <w:color w:val="333333"/>
          <w:szCs w:val="22"/>
          <w:shd w:val="clear" w:color="auto" w:fill="FFFFFF"/>
        </w:rPr>
      </w:pPr>
      <w:r w:rsidRPr="00E11924">
        <w:rPr>
          <w:color w:val="333333"/>
          <w:szCs w:val="22"/>
          <w:shd w:val="clear" w:color="auto" w:fill="FFFFFF"/>
        </w:rPr>
        <w:t>Uroporphyrin accumulation in avian models is less consistently accompanied by decreased UROD activity, and when it does occur, it is less marked than in mammals</w:t>
      </w:r>
      <w:hyperlink r:id="rId24" w:anchor="cite_note-James1989-13" w:history="1">
        <w:r w:rsidRPr="00E11924">
          <w:rPr>
            <w:rStyle w:val="Lienhypertexte"/>
            <w:color w:val="337AB7"/>
            <w:szCs w:val="22"/>
            <w:vertAlign w:val="superscript"/>
          </w:rPr>
          <w:t>[13]</w:t>
        </w:r>
      </w:hyperlink>
      <w:hyperlink r:id="rId25" w:anchor="cite_note-Lambrecht1988-14" w:history="1">
        <w:r w:rsidRPr="00E11924">
          <w:rPr>
            <w:rStyle w:val="Lienhypertexte"/>
            <w:color w:val="337AB7"/>
            <w:szCs w:val="22"/>
            <w:vertAlign w:val="superscript"/>
          </w:rPr>
          <w:t>[14]</w:t>
        </w:r>
      </w:hyperlink>
      <w:r w:rsidRPr="00E11924">
        <w:rPr>
          <w:color w:val="333333"/>
          <w:szCs w:val="22"/>
          <w:shd w:val="clear" w:color="auto" w:fill="FFFFFF"/>
        </w:rPr>
        <w:t>. Although numerous studies show both a decrease in UROD activity and porphyrin accumulation in avian species, Lambrecht et al.</w:t>
      </w:r>
      <w:hyperlink r:id="rId26" w:anchor="cite_note-Lambrecht1988-14" w:history="1">
        <w:r w:rsidRPr="00E11924">
          <w:rPr>
            <w:rStyle w:val="Lienhypertexte"/>
            <w:color w:val="337AB7"/>
            <w:szCs w:val="22"/>
            <w:vertAlign w:val="superscript"/>
          </w:rPr>
          <w:t>[14]</w:t>
        </w:r>
      </w:hyperlink>
      <w:r w:rsidRPr="00E11924">
        <w:rPr>
          <w:color w:val="333333"/>
          <w:szCs w:val="22"/>
          <w:shd w:val="clear" w:color="auto" w:fill="FFFFFF"/>
        </w:rPr>
        <w:t> reported the accumulation of porphyrins in chicken embryo hepatocytes and Japanese quail liver without a decrease in UROD activity. They also note that the modest reduction in UROD activity (often less than 50%) is not enough to explain the extent of porphyrin accumulation observed and suggests there may be another mechanism at play.</w:t>
      </w:r>
      <w:r w:rsidR="00BD7704" w:rsidRPr="00E11924">
        <w:rPr>
          <w:color w:val="333333"/>
          <w:szCs w:val="22"/>
          <w:shd w:val="clear" w:color="auto" w:fill="FFFFFF"/>
        </w:rPr>
        <w:t xml:space="preserve"> </w:t>
      </w:r>
      <w:r w:rsidR="00E11924">
        <w:rPr>
          <w:color w:val="333333"/>
          <w:szCs w:val="22"/>
          <w:shd w:val="clear" w:color="auto" w:fill="FFFFFF"/>
        </w:rPr>
        <w:t>Alternatively, th</w:t>
      </w:r>
      <w:r w:rsidR="0095413D" w:rsidRPr="00E11924">
        <w:rPr>
          <w:szCs w:val="22"/>
        </w:rPr>
        <w:t>e difference between avian and mammals in regard to UROD inhibition may lie in the time-course of the response rather than its mechanism (Lambrecht et al., 1990).</w:t>
      </w:r>
      <w:r w:rsidR="0095413D" w:rsidRPr="00E11924">
        <w:rPr>
          <w:color w:val="333333"/>
          <w:szCs w:val="22"/>
          <w:shd w:val="clear" w:color="auto" w:fill="FFFFFF"/>
        </w:rPr>
        <w:t xml:space="preserve"> </w:t>
      </w:r>
    </w:p>
    <w:p w:rsidR="00E11924" w:rsidRPr="00E11924" w:rsidRDefault="00E11924">
      <w:pPr>
        <w:rPr>
          <w:color w:val="333333"/>
          <w:szCs w:val="22"/>
          <w:shd w:val="clear" w:color="auto" w:fill="FFFFFF"/>
        </w:rPr>
      </w:pPr>
    </w:p>
    <w:p w:rsidR="00E11924" w:rsidRDefault="00E11924">
      <w:pPr>
        <w:tabs>
          <w:tab w:val="clear" w:pos="850"/>
          <w:tab w:val="clear" w:pos="1191"/>
          <w:tab w:val="clear" w:pos="1531"/>
        </w:tabs>
        <w:jc w:val="left"/>
        <w:rPr>
          <w:b/>
          <w:szCs w:val="22"/>
        </w:rPr>
      </w:pPr>
      <w:r>
        <w:rPr>
          <w:b/>
          <w:szCs w:val="22"/>
        </w:rPr>
        <w:br w:type="page"/>
      </w:r>
    </w:p>
    <w:tbl>
      <w:tblPr>
        <w:tblStyle w:val="Grilledutableau"/>
        <w:tblW w:w="0" w:type="auto"/>
        <w:tblLook w:val="04A0" w:firstRow="1" w:lastRow="0" w:firstColumn="1" w:lastColumn="0" w:noHBand="0" w:noVBand="1"/>
      </w:tblPr>
      <w:tblGrid>
        <w:gridCol w:w="1101"/>
        <w:gridCol w:w="8475"/>
      </w:tblGrid>
      <w:tr w:rsidR="00E11924" w:rsidTr="003D283A">
        <w:tc>
          <w:tcPr>
            <w:tcW w:w="1101" w:type="dxa"/>
          </w:tcPr>
          <w:p w:rsidR="00E11924" w:rsidRPr="00996DA2" w:rsidRDefault="00E11924" w:rsidP="003D283A">
            <w:pPr>
              <w:rPr>
                <w:b/>
                <w:noProof/>
              </w:rPr>
            </w:pPr>
            <w:r w:rsidRPr="00996DA2">
              <w:rPr>
                <w:b/>
                <w:noProof/>
              </w:rPr>
              <w:lastRenderedPageBreak/>
              <w:t>Action items</w:t>
            </w:r>
          </w:p>
        </w:tc>
        <w:tc>
          <w:tcPr>
            <w:tcW w:w="8475" w:type="dxa"/>
          </w:tcPr>
          <w:p w:rsidR="00E11924" w:rsidRDefault="00E11924" w:rsidP="003D283A">
            <w:pPr>
              <w:rPr>
                <w:noProof/>
              </w:rPr>
            </w:pPr>
            <w:r w:rsidRPr="00307F78">
              <w:rPr>
                <w:rFonts w:eastAsia="Calibri"/>
                <w:lang w:val="en-US"/>
              </w:rPr>
              <w:t>7) Reviewer to provide authors with the reference(s): (a) for description of HPLC methods for measurement of UROD activity, and (b) to support the change in the current paragraph that porphyrins are responsible for neuropsychiatric symptoms of porphyria. Authors to include the info in the AOP as appropriate.</w:t>
            </w:r>
          </w:p>
        </w:tc>
      </w:tr>
      <w:tr w:rsidR="00E11924" w:rsidTr="003D283A">
        <w:tc>
          <w:tcPr>
            <w:tcW w:w="1101" w:type="dxa"/>
          </w:tcPr>
          <w:p w:rsidR="00E11924" w:rsidRPr="00996DA2" w:rsidRDefault="00E11924" w:rsidP="003D283A">
            <w:pPr>
              <w:rPr>
                <w:b/>
                <w:noProof/>
              </w:rPr>
            </w:pPr>
            <w:r w:rsidRPr="00996DA2">
              <w:rPr>
                <w:b/>
                <w:noProof/>
              </w:rPr>
              <w:t>Intended changes</w:t>
            </w:r>
          </w:p>
        </w:tc>
        <w:tc>
          <w:tcPr>
            <w:tcW w:w="8475" w:type="dxa"/>
          </w:tcPr>
          <w:p w:rsidR="00E11924" w:rsidRPr="00E11924" w:rsidRDefault="00E11924" w:rsidP="00E11924">
            <w:pPr>
              <w:numPr>
                <w:ilvl w:val="0"/>
                <w:numId w:val="9"/>
              </w:numPr>
              <w:tabs>
                <w:tab w:val="clear" w:pos="850"/>
                <w:tab w:val="clear" w:pos="1191"/>
                <w:tab w:val="clear" w:pos="1531"/>
              </w:tabs>
              <w:contextualSpacing/>
              <w:jc w:val="left"/>
              <w:rPr>
                <w:rFonts w:eastAsia="Calibri"/>
                <w:szCs w:val="22"/>
              </w:rPr>
            </w:pPr>
            <w:r w:rsidRPr="00E11924">
              <w:rPr>
                <w:rFonts w:eastAsia="Calibri"/>
              </w:rPr>
              <w:t xml:space="preserve">HPLC ref. received </w:t>
            </w:r>
            <w:r w:rsidRPr="00E11924">
              <w:rPr>
                <w:rFonts w:eastAsia="Calibri"/>
              </w:rPr>
              <w:sym w:font="Wingdings" w:char="F0E0"/>
            </w:r>
            <w:r w:rsidRPr="00E11924">
              <w:rPr>
                <w:rFonts w:eastAsia="Calibri"/>
              </w:rPr>
              <w:t xml:space="preserve"> add to methods section (UROD activity)</w:t>
            </w:r>
          </w:p>
          <w:p w:rsidR="00E11924" w:rsidRPr="00E11924" w:rsidRDefault="00E11924" w:rsidP="00E11924">
            <w:pPr>
              <w:tabs>
                <w:tab w:val="clear" w:pos="850"/>
                <w:tab w:val="clear" w:pos="1191"/>
                <w:tab w:val="clear" w:pos="1531"/>
              </w:tabs>
              <w:ind w:left="284"/>
              <w:contextualSpacing/>
              <w:jc w:val="left"/>
              <w:rPr>
                <w:rFonts w:eastAsia="Calibri"/>
              </w:rPr>
            </w:pPr>
            <w:r w:rsidRPr="00E11924">
              <w:rPr>
                <w:rFonts w:eastAsia="Calibri"/>
              </w:rPr>
              <w:t>Francis and Smith (1983) Analytical Biochemistry 138:404-410</w:t>
            </w:r>
          </w:p>
          <w:p w:rsidR="00E11924" w:rsidRPr="00E11924" w:rsidRDefault="00E11924" w:rsidP="00E11924">
            <w:pPr>
              <w:numPr>
                <w:ilvl w:val="0"/>
                <w:numId w:val="9"/>
              </w:numPr>
              <w:tabs>
                <w:tab w:val="clear" w:pos="850"/>
                <w:tab w:val="clear" w:pos="1191"/>
                <w:tab w:val="clear" w:pos="1531"/>
              </w:tabs>
              <w:contextualSpacing/>
              <w:jc w:val="left"/>
              <w:rPr>
                <w:rFonts w:eastAsia="Calibri"/>
              </w:rPr>
            </w:pPr>
            <w:r w:rsidRPr="00E11924">
              <w:rPr>
                <w:rFonts w:eastAsia="Calibri"/>
              </w:rPr>
              <w:t>Statement linking porphyrins to neuropsychiatric symptoms has been removed from KER866 (HCP accumulation</w:t>
            </w:r>
            <w:r w:rsidRPr="00E11924">
              <w:rPr>
                <w:rFonts w:eastAsia="Calibri"/>
              </w:rPr>
              <w:sym w:font="Wingdings" w:char="F0E0"/>
            </w:r>
            <w:proofErr w:type="spellStart"/>
            <w:r w:rsidRPr="00E11924">
              <w:rPr>
                <w:rFonts w:eastAsia="Calibri"/>
              </w:rPr>
              <w:t>uroporphyria</w:t>
            </w:r>
            <w:proofErr w:type="spellEnd"/>
            <w:r w:rsidRPr="00E11924">
              <w:rPr>
                <w:rFonts w:eastAsia="Calibri"/>
              </w:rPr>
              <w:t>) and references updated accordingly.</w:t>
            </w:r>
          </w:p>
        </w:tc>
      </w:tr>
      <w:tr w:rsidR="00E11924" w:rsidTr="003D283A">
        <w:tc>
          <w:tcPr>
            <w:tcW w:w="1101" w:type="dxa"/>
          </w:tcPr>
          <w:p w:rsidR="00E11924" w:rsidRPr="00996DA2" w:rsidRDefault="00E11924" w:rsidP="003D283A">
            <w:pPr>
              <w:spacing w:line="360" w:lineRule="auto"/>
              <w:rPr>
                <w:b/>
                <w:noProof/>
              </w:rPr>
            </w:pPr>
            <w:r w:rsidRPr="00996DA2">
              <w:rPr>
                <w:b/>
                <w:noProof/>
              </w:rPr>
              <w:t>Changes</w:t>
            </w:r>
          </w:p>
        </w:tc>
        <w:tc>
          <w:tcPr>
            <w:tcW w:w="8475" w:type="dxa"/>
          </w:tcPr>
          <w:p w:rsidR="00E11924" w:rsidRPr="00E11924" w:rsidRDefault="00E11924" w:rsidP="003D283A">
            <w:pPr>
              <w:pStyle w:val="Paragraphedeliste"/>
              <w:numPr>
                <w:ilvl w:val="0"/>
                <w:numId w:val="3"/>
              </w:numPr>
              <w:rPr>
                <w:noProof/>
              </w:rPr>
            </w:pPr>
            <w:r>
              <w:rPr>
                <w:noProof/>
              </w:rPr>
              <w:t xml:space="preserve">The method </w:t>
            </w:r>
            <w:r w:rsidR="0090152A">
              <w:rPr>
                <w:noProof/>
              </w:rPr>
              <w:t>and its appropriate reference were</w:t>
            </w:r>
            <w:r>
              <w:rPr>
                <w:noProof/>
              </w:rPr>
              <w:t xml:space="preserve"> added to KE845</w:t>
            </w:r>
            <w:r w:rsidR="0090152A">
              <w:rPr>
                <w:noProof/>
              </w:rPr>
              <w:t xml:space="preserve">. See text 7.1. </w:t>
            </w:r>
          </w:p>
          <w:p w:rsidR="00E11924" w:rsidRDefault="00E11924" w:rsidP="003D283A">
            <w:pPr>
              <w:pStyle w:val="Paragraphedeliste"/>
              <w:numPr>
                <w:ilvl w:val="0"/>
                <w:numId w:val="3"/>
              </w:numPr>
              <w:rPr>
                <w:noProof/>
              </w:rPr>
            </w:pPr>
            <w:r w:rsidRPr="00E11924">
              <w:rPr>
                <w:rFonts w:eastAsia="Calibri"/>
              </w:rPr>
              <w:t>Statement linking porphyrins to neuropsychiatric symptoms has been removed from KER866 (HCP accumulation</w:t>
            </w:r>
            <w:r w:rsidRPr="00E11924">
              <w:rPr>
                <w:rFonts w:eastAsia="Calibri"/>
              </w:rPr>
              <w:sym w:font="Wingdings" w:char="F0E0"/>
            </w:r>
            <w:proofErr w:type="spellStart"/>
            <w:r w:rsidRPr="00E11924">
              <w:rPr>
                <w:rFonts w:eastAsia="Calibri"/>
              </w:rPr>
              <w:t>uroporphyria</w:t>
            </w:r>
            <w:proofErr w:type="spellEnd"/>
            <w:r w:rsidRPr="00E11924">
              <w:rPr>
                <w:rFonts w:eastAsia="Calibri"/>
              </w:rPr>
              <w:t>) and references updated accordingly</w:t>
            </w:r>
          </w:p>
        </w:tc>
      </w:tr>
    </w:tbl>
    <w:p w:rsidR="000E72B6" w:rsidRDefault="000E72B6" w:rsidP="0095413D">
      <w:pPr>
        <w:rPr>
          <w:b/>
          <w:szCs w:val="22"/>
        </w:rPr>
      </w:pPr>
    </w:p>
    <w:p w:rsidR="0090152A" w:rsidRDefault="0090152A" w:rsidP="0095413D">
      <w:pPr>
        <w:rPr>
          <w:b/>
          <w:szCs w:val="22"/>
        </w:rPr>
      </w:pPr>
      <w:r>
        <w:rPr>
          <w:b/>
          <w:szCs w:val="22"/>
        </w:rPr>
        <w:t>Text 7.1 Method to measure UROD activity</w:t>
      </w:r>
    </w:p>
    <w:p w:rsidR="0090152A" w:rsidRDefault="0090152A" w:rsidP="0095413D">
      <w:r>
        <w:t>Another method based on reverse-phase HPLC was developed</w:t>
      </w:r>
      <w:hyperlink w:anchor="cite_note-Jones2003-9" w:history="1">
        <w:r>
          <w:rPr>
            <w:rStyle w:val="Lienhypertexte"/>
            <w:vertAlign w:val="superscript"/>
          </w:rPr>
          <w:t>[15]</w:t>
        </w:r>
      </w:hyperlink>
      <w:r>
        <w:t xml:space="preserve">. This assay system uses either uroporphyrinogen III or </w:t>
      </w:r>
      <w:proofErr w:type="spellStart"/>
      <w:r>
        <w:t>pentacarboxyporphyrinogen</w:t>
      </w:r>
      <w:proofErr w:type="spellEnd"/>
      <w:r>
        <w:t xml:space="preserve"> I as substrate and liver homogenate in sucrose treated with a suspension of cellulose phosphate as enzyme source.</w:t>
      </w:r>
    </w:p>
    <w:p w:rsidR="0090152A" w:rsidRDefault="0090152A">
      <w:pPr>
        <w:tabs>
          <w:tab w:val="clear" w:pos="850"/>
          <w:tab w:val="clear" w:pos="1191"/>
          <w:tab w:val="clear" w:pos="1531"/>
        </w:tabs>
        <w:jc w:val="left"/>
      </w:pPr>
      <w:r>
        <w:br w:type="page"/>
      </w:r>
    </w:p>
    <w:tbl>
      <w:tblPr>
        <w:tblStyle w:val="Grilledutableau"/>
        <w:tblW w:w="0" w:type="auto"/>
        <w:tblLook w:val="04A0" w:firstRow="1" w:lastRow="0" w:firstColumn="1" w:lastColumn="0" w:noHBand="0" w:noVBand="1"/>
      </w:tblPr>
      <w:tblGrid>
        <w:gridCol w:w="1101"/>
        <w:gridCol w:w="8475"/>
      </w:tblGrid>
      <w:tr w:rsidR="0090152A" w:rsidRPr="0090152A" w:rsidTr="003D283A">
        <w:tc>
          <w:tcPr>
            <w:tcW w:w="1101" w:type="dxa"/>
          </w:tcPr>
          <w:p w:rsidR="0090152A" w:rsidRPr="00996DA2" w:rsidRDefault="0090152A" w:rsidP="003D283A">
            <w:pPr>
              <w:rPr>
                <w:b/>
                <w:noProof/>
              </w:rPr>
            </w:pPr>
            <w:r w:rsidRPr="00996DA2">
              <w:rPr>
                <w:b/>
                <w:noProof/>
              </w:rPr>
              <w:lastRenderedPageBreak/>
              <w:t>Action items</w:t>
            </w:r>
          </w:p>
        </w:tc>
        <w:tc>
          <w:tcPr>
            <w:tcW w:w="8475" w:type="dxa"/>
          </w:tcPr>
          <w:p w:rsidR="0090152A" w:rsidRPr="0090152A" w:rsidRDefault="0090152A" w:rsidP="003D283A">
            <w:pPr>
              <w:rPr>
                <w:noProof/>
              </w:rPr>
            </w:pPr>
            <w:r w:rsidRPr="0090152A">
              <w:rPr>
                <w:rFonts w:eastAsia="Calibri"/>
                <w:lang w:val="en-US"/>
              </w:rPr>
              <w:t xml:space="preserve">8) Authors to consider including references provided by reviewers that would help support evidence throughout the AOP and provide feedback to reviewers before the end of review to ensure all critical aspects have been sufficiently covered.  </w:t>
            </w:r>
          </w:p>
        </w:tc>
      </w:tr>
      <w:tr w:rsidR="0090152A" w:rsidTr="003D283A">
        <w:tc>
          <w:tcPr>
            <w:tcW w:w="1101" w:type="dxa"/>
          </w:tcPr>
          <w:p w:rsidR="0090152A" w:rsidRPr="00230D7B" w:rsidRDefault="0090152A" w:rsidP="003D283A">
            <w:pPr>
              <w:rPr>
                <w:b/>
                <w:noProof/>
              </w:rPr>
            </w:pPr>
            <w:r w:rsidRPr="00230D7B">
              <w:rPr>
                <w:b/>
                <w:noProof/>
              </w:rPr>
              <w:t>Intended changes</w:t>
            </w:r>
          </w:p>
        </w:tc>
        <w:tc>
          <w:tcPr>
            <w:tcW w:w="8475" w:type="dxa"/>
          </w:tcPr>
          <w:p w:rsidR="0090152A" w:rsidRPr="00230D7B" w:rsidRDefault="0090152A" w:rsidP="0090152A">
            <w:pPr>
              <w:numPr>
                <w:ilvl w:val="0"/>
                <w:numId w:val="9"/>
              </w:numPr>
              <w:tabs>
                <w:tab w:val="clear" w:pos="850"/>
                <w:tab w:val="clear" w:pos="1191"/>
                <w:tab w:val="clear" w:pos="1531"/>
              </w:tabs>
              <w:contextualSpacing/>
              <w:jc w:val="left"/>
              <w:rPr>
                <w:rFonts w:eastAsia="Calibri"/>
              </w:rPr>
            </w:pPr>
            <w:r w:rsidRPr="00230D7B">
              <w:rPr>
                <w:rFonts w:eastAsia="Calibri"/>
              </w:rPr>
              <w:t>References have been received from reviewers</w:t>
            </w:r>
          </w:p>
          <w:p w:rsidR="0090152A" w:rsidRPr="00230D7B" w:rsidRDefault="00230D7B" w:rsidP="0090152A">
            <w:pPr>
              <w:numPr>
                <w:ilvl w:val="0"/>
                <w:numId w:val="9"/>
              </w:numPr>
              <w:tabs>
                <w:tab w:val="clear" w:pos="850"/>
                <w:tab w:val="clear" w:pos="1191"/>
                <w:tab w:val="clear" w:pos="1531"/>
              </w:tabs>
              <w:contextualSpacing/>
              <w:jc w:val="left"/>
              <w:rPr>
                <w:rFonts w:eastAsia="Calibri"/>
              </w:rPr>
            </w:pPr>
            <w:r w:rsidRPr="00230D7B">
              <w:rPr>
                <w:rFonts w:eastAsia="Calibri"/>
              </w:rPr>
              <w:t>Francis and Smith (1984</w:t>
            </w:r>
            <w:r w:rsidR="0090152A" w:rsidRPr="00230D7B">
              <w:rPr>
                <w:rFonts w:eastAsia="Calibri"/>
              </w:rPr>
              <w:t xml:space="preserve">) </w:t>
            </w:r>
            <w:r w:rsidRPr="00230D7B">
              <w:rPr>
                <w:rStyle w:val="Accentuation"/>
              </w:rPr>
              <w:t>Analytical biochemistry</w:t>
            </w:r>
            <w:r w:rsidRPr="00230D7B">
              <w:t>, </w:t>
            </w:r>
            <w:r w:rsidRPr="00230D7B">
              <w:rPr>
                <w:rStyle w:val="lev"/>
              </w:rPr>
              <w:t>138</w:t>
            </w:r>
            <w:r w:rsidRPr="00230D7B">
              <w:t>(2), 404-410.</w:t>
            </w:r>
          </w:p>
          <w:p w:rsidR="0090152A" w:rsidRPr="00230D7B" w:rsidRDefault="0090152A" w:rsidP="0090152A">
            <w:pPr>
              <w:numPr>
                <w:ilvl w:val="0"/>
                <w:numId w:val="9"/>
              </w:numPr>
              <w:tabs>
                <w:tab w:val="clear" w:pos="850"/>
                <w:tab w:val="clear" w:pos="1191"/>
                <w:tab w:val="clear" w:pos="1531"/>
              </w:tabs>
              <w:contextualSpacing/>
              <w:jc w:val="left"/>
              <w:rPr>
                <w:rFonts w:eastAsia="Calibri"/>
                <w:szCs w:val="22"/>
                <w:lang w:val="fr-CA"/>
              </w:rPr>
            </w:pPr>
            <w:r w:rsidRPr="00230D7B">
              <w:rPr>
                <w:rFonts w:eastAsia="Calibri"/>
                <w:lang w:val="fr-CA"/>
              </w:rPr>
              <w:t xml:space="preserve">Urquhart et al (1988) </w:t>
            </w:r>
            <w:proofErr w:type="spellStart"/>
            <w:r w:rsidRPr="00230D7B">
              <w:rPr>
                <w:rFonts w:eastAsia="Calibri"/>
                <w:lang w:val="fr-CA"/>
              </w:rPr>
              <w:t>Biochem</w:t>
            </w:r>
            <w:proofErr w:type="spellEnd"/>
            <w:r w:rsidRPr="00230D7B">
              <w:rPr>
                <w:rFonts w:eastAsia="Calibri"/>
                <w:lang w:val="fr-CA"/>
              </w:rPr>
              <w:t xml:space="preserve"> J. 253: 357-362</w:t>
            </w:r>
          </w:p>
          <w:p w:rsidR="002B6554" w:rsidRPr="00230D7B" w:rsidRDefault="0090152A" w:rsidP="0090152A">
            <w:pPr>
              <w:numPr>
                <w:ilvl w:val="0"/>
                <w:numId w:val="9"/>
              </w:numPr>
              <w:tabs>
                <w:tab w:val="clear" w:pos="850"/>
                <w:tab w:val="clear" w:pos="1191"/>
                <w:tab w:val="clear" w:pos="1531"/>
              </w:tabs>
              <w:contextualSpacing/>
              <w:jc w:val="left"/>
              <w:rPr>
                <w:rFonts w:eastAsia="Calibri"/>
                <w:color w:val="5B9BD5"/>
                <w:szCs w:val="22"/>
              </w:rPr>
            </w:pPr>
            <w:r w:rsidRPr="00230D7B">
              <w:rPr>
                <w:rFonts w:eastAsia="Calibri"/>
                <w:lang w:val="en-US"/>
              </w:rPr>
              <w:t xml:space="preserve">Smith and </w:t>
            </w:r>
            <w:proofErr w:type="spellStart"/>
            <w:r w:rsidRPr="00230D7B">
              <w:rPr>
                <w:rFonts w:eastAsia="Calibri"/>
                <w:lang w:val="en-US"/>
              </w:rPr>
              <w:t>Chernova</w:t>
            </w:r>
            <w:proofErr w:type="spellEnd"/>
            <w:r w:rsidRPr="00230D7B">
              <w:rPr>
                <w:rFonts w:eastAsia="Calibri"/>
                <w:lang w:val="en-US"/>
              </w:rPr>
              <w:t xml:space="preserve"> (2006) Disruption of heme synthesis by polyhalogenated aromatics.  Advances in Molecular toxicology Vol 3 </w:t>
            </w:r>
            <w:proofErr w:type="spellStart"/>
            <w:r w:rsidRPr="00230D7B">
              <w:rPr>
                <w:rFonts w:eastAsia="Calibri"/>
                <w:lang w:val="en-US"/>
              </w:rPr>
              <w:t>Ch</w:t>
            </w:r>
            <w:proofErr w:type="spellEnd"/>
            <w:r w:rsidRPr="00230D7B">
              <w:rPr>
                <w:rFonts w:eastAsia="Calibri"/>
                <w:lang w:val="en-US"/>
              </w:rPr>
              <w:t xml:space="preserve"> 6.</w:t>
            </w:r>
          </w:p>
          <w:p w:rsidR="0090152A" w:rsidRPr="00230D7B" w:rsidRDefault="0090152A" w:rsidP="0090152A">
            <w:pPr>
              <w:numPr>
                <w:ilvl w:val="0"/>
                <w:numId w:val="9"/>
              </w:numPr>
              <w:tabs>
                <w:tab w:val="clear" w:pos="850"/>
                <w:tab w:val="clear" w:pos="1191"/>
                <w:tab w:val="clear" w:pos="1531"/>
              </w:tabs>
              <w:contextualSpacing/>
              <w:jc w:val="left"/>
              <w:rPr>
                <w:rFonts w:eastAsia="Calibri"/>
                <w:color w:val="5B9BD5"/>
                <w:szCs w:val="22"/>
              </w:rPr>
            </w:pPr>
            <w:r w:rsidRPr="00230D7B">
              <w:rPr>
                <w:rFonts w:eastAsia="Calibri"/>
              </w:rPr>
              <w:t>CYP Induction EURL ECVAM Validation project report</w:t>
            </w:r>
          </w:p>
          <w:p w:rsidR="0090152A" w:rsidRPr="00230D7B" w:rsidRDefault="0090152A" w:rsidP="0090152A">
            <w:pPr>
              <w:numPr>
                <w:ilvl w:val="0"/>
                <w:numId w:val="9"/>
              </w:numPr>
              <w:tabs>
                <w:tab w:val="clear" w:pos="850"/>
                <w:tab w:val="clear" w:pos="1191"/>
                <w:tab w:val="clear" w:pos="1531"/>
              </w:tabs>
              <w:contextualSpacing/>
              <w:jc w:val="left"/>
              <w:rPr>
                <w:rFonts w:eastAsia="Calibri"/>
              </w:rPr>
            </w:pPr>
            <w:r w:rsidRPr="00230D7B">
              <w:rPr>
                <w:rFonts w:eastAsia="Calibri"/>
              </w:rPr>
              <w:sym w:font="Wingdings" w:char="F0E0"/>
            </w:r>
            <w:r w:rsidRPr="00230D7B">
              <w:rPr>
                <w:rFonts w:eastAsia="Calibri"/>
              </w:rPr>
              <w:t xml:space="preserve"> Upon reading these references, it will be decided if and where they should be included throughout the AOP.</w:t>
            </w:r>
          </w:p>
        </w:tc>
      </w:tr>
      <w:tr w:rsidR="0090152A" w:rsidTr="00230D7B">
        <w:tc>
          <w:tcPr>
            <w:tcW w:w="1101" w:type="dxa"/>
          </w:tcPr>
          <w:p w:rsidR="0090152A" w:rsidRPr="00230D7B" w:rsidRDefault="0090152A" w:rsidP="003D283A">
            <w:pPr>
              <w:spacing w:line="360" w:lineRule="auto"/>
              <w:rPr>
                <w:b/>
                <w:noProof/>
              </w:rPr>
            </w:pPr>
            <w:r w:rsidRPr="00230D7B">
              <w:rPr>
                <w:b/>
                <w:noProof/>
              </w:rPr>
              <w:t>Changes</w:t>
            </w:r>
          </w:p>
        </w:tc>
        <w:tc>
          <w:tcPr>
            <w:tcW w:w="8475" w:type="dxa"/>
            <w:shd w:val="clear" w:color="auto" w:fill="auto"/>
          </w:tcPr>
          <w:p w:rsidR="00230D7B" w:rsidRPr="00230D7B" w:rsidRDefault="00230D7B" w:rsidP="00926D82">
            <w:pPr>
              <w:numPr>
                <w:ilvl w:val="0"/>
                <w:numId w:val="3"/>
              </w:numPr>
              <w:tabs>
                <w:tab w:val="clear" w:pos="850"/>
                <w:tab w:val="clear" w:pos="1191"/>
                <w:tab w:val="clear" w:pos="1531"/>
              </w:tabs>
              <w:contextualSpacing/>
              <w:jc w:val="left"/>
              <w:rPr>
                <w:rFonts w:eastAsia="Calibri"/>
                <w:szCs w:val="22"/>
              </w:rPr>
            </w:pPr>
            <w:r w:rsidRPr="00230D7B">
              <w:rPr>
                <w:rFonts w:eastAsia="Calibri"/>
              </w:rPr>
              <w:t>Francis and Smith (1985)</w:t>
            </w:r>
            <w:r>
              <w:rPr>
                <w:rFonts w:eastAsia="Calibri"/>
              </w:rPr>
              <w:t xml:space="preserve"> was cited in the method section of KE845. See reference 15 on the KE page. </w:t>
            </w:r>
          </w:p>
          <w:p w:rsidR="00926D82" w:rsidRPr="00230D7B" w:rsidRDefault="00926D82" w:rsidP="00926D82">
            <w:pPr>
              <w:numPr>
                <w:ilvl w:val="0"/>
                <w:numId w:val="3"/>
              </w:numPr>
              <w:tabs>
                <w:tab w:val="clear" w:pos="850"/>
                <w:tab w:val="clear" w:pos="1191"/>
                <w:tab w:val="clear" w:pos="1531"/>
              </w:tabs>
              <w:contextualSpacing/>
              <w:jc w:val="left"/>
              <w:rPr>
                <w:rFonts w:eastAsia="Calibri"/>
                <w:szCs w:val="22"/>
              </w:rPr>
            </w:pPr>
            <w:r w:rsidRPr="00230D7B">
              <w:rPr>
                <w:rFonts w:eastAsia="Calibri"/>
                <w:lang w:val="en-US"/>
              </w:rPr>
              <w:t xml:space="preserve">Smith and </w:t>
            </w:r>
            <w:proofErr w:type="spellStart"/>
            <w:r w:rsidRPr="00230D7B">
              <w:rPr>
                <w:rFonts w:eastAsia="Calibri"/>
                <w:lang w:val="en-US"/>
              </w:rPr>
              <w:t>Chernova</w:t>
            </w:r>
            <w:proofErr w:type="spellEnd"/>
            <w:r w:rsidRPr="00230D7B">
              <w:rPr>
                <w:rFonts w:eastAsia="Calibri"/>
                <w:lang w:val="en-US"/>
              </w:rPr>
              <w:t xml:space="preserve"> (2006) </w:t>
            </w:r>
            <w:r w:rsidR="00230D7B" w:rsidRPr="00230D7B">
              <w:rPr>
                <w:rFonts w:eastAsia="Calibri"/>
                <w:lang w:val="en-US"/>
              </w:rPr>
              <w:t>was cited at the end of the background section. See reference 67 in text</w:t>
            </w:r>
            <w:r w:rsidRPr="00230D7B">
              <w:rPr>
                <w:rFonts w:eastAsia="Calibri"/>
                <w:lang w:val="en-US"/>
              </w:rPr>
              <w:t xml:space="preserve"> </w:t>
            </w:r>
            <w:r w:rsidR="00230D7B">
              <w:rPr>
                <w:rFonts w:eastAsia="Calibri"/>
                <w:lang w:val="en-US"/>
              </w:rPr>
              <w:t>1.1</w:t>
            </w:r>
          </w:p>
          <w:p w:rsidR="0090152A" w:rsidRPr="00230D7B" w:rsidRDefault="00230D7B" w:rsidP="00926D82">
            <w:pPr>
              <w:pStyle w:val="Paragraphedeliste"/>
              <w:numPr>
                <w:ilvl w:val="0"/>
                <w:numId w:val="3"/>
              </w:numPr>
              <w:rPr>
                <w:noProof/>
              </w:rPr>
            </w:pPr>
            <w:r>
              <w:rPr>
                <w:noProof/>
              </w:rPr>
              <w:t xml:space="preserve">EURL ECVAM Validation project report was cited in the method section of KE 850. The method was described. See text 8.1. </w:t>
            </w:r>
          </w:p>
        </w:tc>
      </w:tr>
    </w:tbl>
    <w:p w:rsidR="0090152A" w:rsidRDefault="0090152A" w:rsidP="0095413D">
      <w:pPr>
        <w:rPr>
          <w:b/>
          <w:szCs w:val="22"/>
        </w:rPr>
      </w:pPr>
    </w:p>
    <w:p w:rsidR="00230D7B" w:rsidRDefault="00230D7B">
      <w:pPr>
        <w:tabs>
          <w:tab w:val="clear" w:pos="850"/>
          <w:tab w:val="clear" w:pos="1191"/>
          <w:tab w:val="clear" w:pos="1531"/>
        </w:tabs>
        <w:jc w:val="left"/>
        <w:rPr>
          <w:b/>
          <w:szCs w:val="22"/>
        </w:rPr>
      </w:pPr>
      <w:r>
        <w:rPr>
          <w:b/>
          <w:szCs w:val="22"/>
        </w:rPr>
        <w:t>Text 8.1 Measurement of CYP1A2 induction</w:t>
      </w:r>
    </w:p>
    <w:p w:rsidR="00230D7B" w:rsidRPr="00230D7B" w:rsidRDefault="00230D7B" w:rsidP="00230D7B">
      <w:pPr>
        <w:pStyle w:val="Titre3"/>
        <w:rPr>
          <w:rFonts w:ascii="Times New Roman" w:hAnsi="Times New Roman" w:cs="Times New Roman"/>
          <w:color w:val="auto"/>
          <w:szCs w:val="22"/>
        </w:rPr>
      </w:pPr>
      <w:r w:rsidRPr="00230D7B">
        <w:rPr>
          <w:rFonts w:ascii="Times New Roman" w:hAnsi="Times New Roman" w:cs="Times New Roman"/>
          <w:color w:val="auto"/>
          <w:szCs w:val="22"/>
        </w:rPr>
        <w:t>LC/MS-MS</w:t>
      </w:r>
    </w:p>
    <w:p w:rsidR="00230D7B" w:rsidRPr="00230D7B" w:rsidRDefault="00230D7B" w:rsidP="00230D7B">
      <w:pPr>
        <w:pStyle w:val="NormalWeb"/>
        <w:jc w:val="both"/>
        <w:rPr>
          <w:sz w:val="22"/>
          <w:szCs w:val="22"/>
        </w:rPr>
      </w:pPr>
      <w:r w:rsidRPr="00230D7B">
        <w:rPr>
          <w:sz w:val="22"/>
          <w:szCs w:val="22"/>
        </w:rPr>
        <w:t xml:space="preserve">The European Union Reference Laboratory for Alternatives to Animal Testing (EURL-ECVAM) is working on a human hepatic in vitro metabolically competent test systems to evaluate CYPs induction. Cryopreserved human </w:t>
      </w:r>
      <w:proofErr w:type="spellStart"/>
      <w:r w:rsidRPr="00230D7B">
        <w:rPr>
          <w:sz w:val="22"/>
          <w:szCs w:val="22"/>
        </w:rPr>
        <w:t>HepaRG</w:t>
      </w:r>
      <w:proofErr w:type="spellEnd"/>
      <w:r w:rsidRPr="00230D7B">
        <w:rPr>
          <w:sz w:val="22"/>
          <w:szCs w:val="22"/>
        </w:rPr>
        <w:t>® or cryopreserved human primary hepatocytes are incubated in presence of a potential CYP1A2 inducer and the identity and abundance of CYP1A2 product is evaluated using analytical HPLC (High Performance Liquid Chromatography) coupled with mass spectrometry (MS). HPLC is applied for concentration and purification of the product to be detected, whereas MS is applied for its specific quantification </w:t>
      </w:r>
      <w:hyperlink r:id="rId27" w:anchor="cite_note-Garrison1996-29" w:history="1">
        <w:r w:rsidRPr="00230D7B">
          <w:rPr>
            <w:rStyle w:val="Lienhypertexte"/>
            <w:color w:val="auto"/>
            <w:sz w:val="22"/>
            <w:szCs w:val="22"/>
            <w:vertAlign w:val="superscript"/>
          </w:rPr>
          <w:t>[31]</w:t>
        </w:r>
      </w:hyperlink>
      <w:r w:rsidRPr="00230D7B">
        <w:rPr>
          <w:sz w:val="22"/>
          <w:szCs w:val="22"/>
        </w:rPr>
        <w:t>.</w:t>
      </w:r>
    </w:p>
    <w:p w:rsidR="0090152A" w:rsidRDefault="0090152A">
      <w:pPr>
        <w:tabs>
          <w:tab w:val="clear" w:pos="850"/>
          <w:tab w:val="clear" w:pos="1191"/>
          <w:tab w:val="clear" w:pos="1531"/>
        </w:tabs>
        <w:jc w:val="left"/>
        <w:rPr>
          <w:b/>
          <w:szCs w:val="22"/>
        </w:rPr>
      </w:pPr>
      <w:r>
        <w:rPr>
          <w:b/>
          <w:szCs w:val="22"/>
        </w:rPr>
        <w:br w:type="page"/>
      </w:r>
    </w:p>
    <w:tbl>
      <w:tblPr>
        <w:tblStyle w:val="Grilledutableau"/>
        <w:tblW w:w="0" w:type="auto"/>
        <w:tblLook w:val="04A0" w:firstRow="1" w:lastRow="0" w:firstColumn="1" w:lastColumn="0" w:noHBand="0" w:noVBand="1"/>
      </w:tblPr>
      <w:tblGrid>
        <w:gridCol w:w="1101"/>
        <w:gridCol w:w="8475"/>
      </w:tblGrid>
      <w:tr w:rsidR="0090152A" w:rsidTr="003D283A">
        <w:tc>
          <w:tcPr>
            <w:tcW w:w="1101" w:type="dxa"/>
          </w:tcPr>
          <w:p w:rsidR="0090152A" w:rsidRPr="00996DA2" w:rsidRDefault="0090152A" w:rsidP="003D283A">
            <w:pPr>
              <w:rPr>
                <w:b/>
                <w:noProof/>
              </w:rPr>
            </w:pPr>
            <w:r w:rsidRPr="00996DA2">
              <w:rPr>
                <w:b/>
                <w:noProof/>
              </w:rPr>
              <w:lastRenderedPageBreak/>
              <w:t>Action items</w:t>
            </w:r>
          </w:p>
        </w:tc>
        <w:tc>
          <w:tcPr>
            <w:tcW w:w="8475" w:type="dxa"/>
          </w:tcPr>
          <w:p w:rsidR="0090152A" w:rsidRDefault="0090152A" w:rsidP="003D283A">
            <w:pPr>
              <w:rPr>
                <w:noProof/>
              </w:rPr>
            </w:pPr>
            <w:r w:rsidRPr="00307F78">
              <w:rPr>
                <w:rFonts w:eastAsia="Calibri"/>
                <w:lang w:val="en-US"/>
              </w:rPr>
              <w:t xml:space="preserve">9) Abstract will be modified to better reflect the wider context of </w:t>
            </w:r>
            <w:proofErr w:type="spellStart"/>
            <w:r w:rsidRPr="00307F78">
              <w:rPr>
                <w:rFonts w:eastAsia="Calibri"/>
                <w:lang w:val="en-US"/>
              </w:rPr>
              <w:t>porphyrias</w:t>
            </w:r>
            <w:proofErr w:type="spellEnd"/>
            <w:r w:rsidRPr="00307F78">
              <w:rPr>
                <w:rFonts w:eastAsia="Calibri"/>
                <w:lang w:val="en-US"/>
              </w:rPr>
              <w:t xml:space="preserve"> and the enzymes involved.</w:t>
            </w:r>
          </w:p>
        </w:tc>
      </w:tr>
      <w:tr w:rsidR="0090152A" w:rsidTr="003D283A">
        <w:tc>
          <w:tcPr>
            <w:tcW w:w="1101" w:type="dxa"/>
          </w:tcPr>
          <w:p w:rsidR="0090152A" w:rsidRPr="00996DA2" w:rsidRDefault="0090152A" w:rsidP="0090152A">
            <w:pPr>
              <w:rPr>
                <w:b/>
                <w:noProof/>
              </w:rPr>
            </w:pPr>
            <w:r w:rsidRPr="00996DA2">
              <w:rPr>
                <w:b/>
                <w:noProof/>
              </w:rPr>
              <w:t>Intended changes</w:t>
            </w:r>
          </w:p>
        </w:tc>
        <w:tc>
          <w:tcPr>
            <w:tcW w:w="8475" w:type="dxa"/>
          </w:tcPr>
          <w:p w:rsidR="0090152A" w:rsidRPr="0090152A" w:rsidRDefault="0090152A" w:rsidP="0090152A">
            <w:pPr>
              <w:numPr>
                <w:ilvl w:val="0"/>
                <w:numId w:val="9"/>
              </w:numPr>
              <w:tabs>
                <w:tab w:val="clear" w:pos="850"/>
                <w:tab w:val="clear" w:pos="1191"/>
                <w:tab w:val="clear" w:pos="1531"/>
              </w:tabs>
              <w:contextualSpacing/>
              <w:jc w:val="left"/>
              <w:rPr>
                <w:rFonts w:eastAsia="Calibri"/>
              </w:rPr>
            </w:pPr>
            <w:r w:rsidRPr="0090152A">
              <w:rPr>
                <w:rFonts w:eastAsia="Calibri"/>
              </w:rPr>
              <w:t xml:space="preserve">Include summary statement on context of UROD within </w:t>
            </w:r>
            <w:proofErr w:type="spellStart"/>
            <w:r w:rsidRPr="0090152A">
              <w:rPr>
                <w:rFonts w:eastAsia="Calibri"/>
              </w:rPr>
              <w:t>heme</w:t>
            </w:r>
            <w:proofErr w:type="spellEnd"/>
            <w:r w:rsidRPr="0090152A">
              <w:rPr>
                <w:rFonts w:eastAsia="Calibri"/>
              </w:rPr>
              <w:t xml:space="preserve"> biosynthesis pathway in Abs</w:t>
            </w:r>
            <w:r>
              <w:rPr>
                <w:rFonts w:eastAsia="Calibri"/>
              </w:rPr>
              <w:t>t</w:t>
            </w:r>
            <w:r w:rsidRPr="0090152A">
              <w:rPr>
                <w:rFonts w:eastAsia="Calibri"/>
              </w:rPr>
              <w:t>ract.</w:t>
            </w:r>
          </w:p>
        </w:tc>
      </w:tr>
      <w:tr w:rsidR="0090152A" w:rsidTr="003D283A">
        <w:tc>
          <w:tcPr>
            <w:tcW w:w="1101" w:type="dxa"/>
          </w:tcPr>
          <w:p w:rsidR="0090152A" w:rsidRPr="00996DA2" w:rsidRDefault="0090152A" w:rsidP="003D283A">
            <w:pPr>
              <w:spacing w:line="360" w:lineRule="auto"/>
              <w:rPr>
                <w:b/>
                <w:noProof/>
              </w:rPr>
            </w:pPr>
            <w:r w:rsidRPr="00996DA2">
              <w:rPr>
                <w:b/>
                <w:noProof/>
              </w:rPr>
              <w:t>Changes</w:t>
            </w:r>
          </w:p>
        </w:tc>
        <w:tc>
          <w:tcPr>
            <w:tcW w:w="8475" w:type="dxa"/>
          </w:tcPr>
          <w:p w:rsidR="0090152A" w:rsidRDefault="006951C5" w:rsidP="003D283A">
            <w:pPr>
              <w:pStyle w:val="Paragraphedeliste"/>
              <w:numPr>
                <w:ilvl w:val="0"/>
                <w:numId w:val="3"/>
              </w:numPr>
              <w:rPr>
                <w:noProof/>
              </w:rPr>
            </w:pPr>
            <w:r>
              <w:rPr>
                <w:noProof/>
              </w:rPr>
              <w:t xml:space="preserve">The abstract was modified to specify that uroporphyrinogen is uniquely induced by homozygous mutation in UROD or chemical exposure leading to UROD activity inhibition. See bold text in Text 9.1. A more descriptive link with the heme biosynthesis pathway was included in the background section. </w:t>
            </w:r>
          </w:p>
        </w:tc>
      </w:tr>
    </w:tbl>
    <w:p w:rsidR="0090152A" w:rsidRDefault="0090152A" w:rsidP="0095413D">
      <w:pPr>
        <w:rPr>
          <w:b/>
          <w:szCs w:val="22"/>
        </w:rPr>
      </w:pPr>
    </w:p>
    <w:p w:rsidR="00DA2D74" w:rsidRDefault="00DA2D74" w:rsidP="0095413D">
      <w:pPr>
        <w:rPr>
          <w:b/>
          <w:szCs w:val="22"/>
        </w:rPr>
      </w:pPr>
    </w:p>
    <w:p w:rsidR="006951C5" w:rsidRPr="006951C5" w:rsidRDefault="006951C5" w:rsidP="00DA2D74">
      <w:pPr>
        <w:rPr>
          <w:b/>
        </w:rPr>
      </w:pPr>
      <w:r w:rsidRPr="006951C5">
        <w:rPr>
          <w:b/>
        </w:rPr>
        <w:t>Text 9.1 Abstract on AOP main page</w:t>
      </w:r>
    </w:p>
    <w:p w:rsidR="006951C5" w:rsidRDefault="006951C5" w:rsidP="00DA2D74"/>
    <w:p w:rsidR="007A4AD2" w:rsidRDefault="007A4AD2" w:rsidP="00DA2D74">
      <w:r>
        <w:t xml:space="preserve">Hepatic </w:t>
      </w:r>
      <w:proofErr w:type="spellStart"/>
      <w:r>
        <w:t>uroporphyria</w:t>
      </w:r>
      <w:proofErr w:type="spellEnd"/>
      <w:r>
        <w:t xml:space="preserve"> is a disorder where the disturbance of </w:t>
      </w:r>
      <w:proofErr w:type="spellStart"/>
      <w:r>
        <w:t>heme</w:t>
      </w:r>
      <w:proofErr w:type="spellEnd"/>
      <w:r>
        <w:t xml:space="preserve"> biosynthesis results in accumulation and excretion of uroporphyrin, </w:t>
      </w:r>
      <w:proofErr w:type="spellStart"/>
      <w:r>
        <w:t>heptacarboxyl</w:t>
      </w:r>
      <w:proofErr w:type="spellEnd"/>
      <w:r>
        <w:t xml:space="preserve">- and </w:t>
      </w:r>
      <w:proofErr w:type="spellStart"/>
      <w:r>
        <w:t>hexacarboxyl</w:t>
      </w:r>
      <w:proofErr w:type="spellEnd"/>
      <w:r>
        <w:t xml:space="preserve"> porphyrin: collectively referred to as highly </w:t>
      </w:r>
      <w:proofErr w:type="spellStart"/>
      <w:r>
        <w:t>carboxylated</w:t>
      </w:r>
      <w:proofErr w:type="spellEnd"/>
      <w:r>
        <w:t xml:space="preserve"> porphyrins (HCPs)</w:t>
      </w:r>
      <w:hyperlink w:anchor="cite_note-Fox1988-1" w:history="1">
        <w:r>
          <w:rPr>
            <w:rStyle w:val="Lienhypertexte"/>
            <w:vertAlign w:val="superscript"/>
          </w:rPr>
          <w:t>[1]</w:t>
        </w:r>
      </w:hyperlink>
      <w:hyperlink w:anchor="cite_note-Kennedy1990-2" w:history="1">
        <w:r>
          <w:rPr>
            <w:rStyle w:val="Lienhypertexte"/>
            <w:vertAlign w:val="superscript"/>
          </w:rPr>
          <w:t>[2]</w:t>
        </w:r>
      </w:hyperlink>
      <w:hyperlink w:anchor="cite_note-Kennedy1998-3" w:history="1">
        <w:r>
          <w:rPr>
            <w:rStyle w:val="Lienhypertexte"/>
            <w:vertAlign w:val="superscript"/>
          </w:rPr>
          <w:t>[3]</w:t>
        </w:r>
      </w:hyperlink>
      <w:r>
        <w:t xml:space="preserve">. </w:t>
      </w:r>
      <w:r w:rsidRPr="007A4AD2">
        <w:rPr>
          <w:b/>
        </w:rPr>
        <w:t xml:space="preserve">The disorder is due to a homozygous mutation in uroporphyrinogen decarboxylase (UROD), an enzyme involved in the </w:t>
      </w:r>
      <w:proofErr w:type="spellStart"/>
      <w:r w:rsidRPr="007A4AD2">
        <w:rPr>
          <w:b/>
        </w:rPr>
        <w:t>heme</w:t>
      </w:r>
      <w:proofErr w:type="spellEnd"/>
      <w:r w:rsidRPr="007A4AD2">
        <w:rPr>
          <w:b/>
        </w:rPr>
        <w:t xml:space="preserve"> biosynthesis pathway </w:t>
      </w:r>
      <w:hyperlink w:anchor="cite_note-Thunell2000-4" w:history="1">
        <w:r w:rsidRPr="007A4AD2">
          <w:rPr>
            <w:rStyle w:val="Lienhypertexte"/>
            <w:b/>
            <w:vertAlign w:val="superscript"/>
          </w:rPr>
          <w:t>[4]</w:t>
        </w:r>
      </w:hyperlink>
      <w:r w:rsidRPr="007A4AD2">
        <w:rPr>
          <w:b/>
        </w:rPr>
        <w:t>, or may be chemically induced, which involves the inhibition of UROD.</w:t>
      </w:r>
      <w:r>
        <w:t xml:space="preserve"> This adverse outcome pathway (AOP) describes the linkages leading to chemically induced porphyria through the activation of the aryl hydrocarbon receptor (AHR), a ligand-activated transcription factor.  AHR activation leads to the induction of cytochrome P450 1A2, a phase I metabolizing enzyme, which in turn results in excessive oxidation of uroporphyrinogen.  This oxidation produces a UROD inhibitor, preventing the conversion of uroporphyrinogen to </w:t>
      </w:r>
      <w:proofErr w:type="spellStart"/>
      <w:r>
        <w:t>coprouroporphyrinogen</w:t>
      </w:r>
      <w:proofErr w:type="spellEnd"/>
      <w:r>
        <w:t xml:space="preserve"> </w:t>
      </w:r>
      <w:r w:rsidR="002B57AF">
        <w:t>and</w:t>
      </w:r>
      <w:r>
        <w:t xml:space="preserve"> increasing the synthesis of the UROD inhibitor in a positive feedback loop.  The accumulation of uroporphyrinogen leads to its preferential oxidation and accumulation of HCP in various organs (</w:t>
      </w:r>
      <w:proofErr w:type="spellStart"/>
      <w:r>
        <w:t>Uroporphyria</w:t>
      </w:r>
      <w:proofErr w:type="spellEnd"/>
      <w:r>
        <w:t xml:space="preserve">).  This AOP was developed in accordance with OECD guidelines and demonstrates a high degree of confidence as a qualitative AOP. The quantitative understanding of this AOP however is not yet complete, preventing the accurate prediction of </w:t>
      </w:r>
      <w:proofErr w:type="spellStart"/>
      <w:r>
        <w:t>uroporphyria</w:t>
      </w:r>
      <w:proofErr w:type="spellEnd"/>
      <w:r>
        <w:t xml:space="preserve"> from lower level key events.</w:t>
      </w:r>
    </w:p>
    <w:p w:rsidR="007A4AD2" w:rsidRDefault="007A4AD2" w:rsidP="00DA2D74"/>
    <w:p w:rsidR="006951C5" w:rsidRDefault="006951C5">
      <w:pPr>
        <w:tabs>
          <w:tab w:val="clear" w:pos="850"/>
          <w:tab w:val="clear" w:pos="1191"/>
          <w:tab w:val="clear" w:pos="1531"/>
        </w:tabs>
        <w:jc w:val="left"/>
        <w:rPr>
          <w:b/>
          <w:szCs w:val="22"/>
          <w:lang w:val="en-US"/>
        </w:rPr>
      </w:pPr>
      <w:r>
        <w:rPr>
          <w:b/>
          <w:szCs w:val="22"/>
          <w:lang w:val="en-US"/>
        </w:rPr>
        <w:br w:type="page"/>
      </w:r>
    </w:p>
    <w:p w:rsidR="007A4AD2" w:rsidRDefault="007A4AD2">
      <w:pPr>
        <w:tabs>
          <w:tab w:val="clear" w:pos="850"/>
          <w:tab w:val="clear" w:pos="1191"/>
          <w:tab w:val="clear" w:pos="1531"/>
        </w:tabs>
        <w:jc w:val="left"/>
        <w:rPr>
          <w:b/>
          <w:szCs w:val="22"/>
          <w:lang w:val="en-US"/>
        </w:rPr>
      </w:pPr>
    </w:p>
    <w:tbl>
      <w:tblPr>
        <w:tblStyle w:val="Grilledutableau"/>
        <w:tblW w:w="0" w:type="auto"/>
        <w:tblLook w:val="04A0" w:firstRow="1" w:lastRow="0" w:firstColumn="1" w:lastColumn="0" w:noHBand="0" w:noVBand="1"/>
      </w:tblPr>
      <w:tblGrid>
        <w:gridCol w:w="1101"/>
        <w:gridCol w:w="8475"/>
      </w:tblGrid>
      <w:tr w:rsidR="006951C5" w:rsidTr="003D283A">
        <w:tc>
          <w:tcPr>
            <w:tcW w:w="1101" w:type="dxa"/>
          </w:tcPr>
          <w:p w:rsidR="006951C5" w:rsidRPr="00996DA2" w:rsidRDefault="006951C5" w:rsidP="003D283A">
            <w:pPr>
              <w:rPr>
                <w:b/>
                <w:noProof/>
              </w:rPr>
            </w:pPr>
            <w:r w:rsidRPr="00996DA2">
              <w:rPr>
                <w:b/>
                <w:noProof/>
              </w:rPr>
              <w:t>Action items</w:t>
            </w:r>
          </w:p>
        </w:tc>
        <w:tc>
          <w:tcPr>
            <w:tcW w:w="8475" w:type="dxa"/>
          </w:tcPr>
          <w:p w:rsidR="006951C5" w:rsidRDefault="006951C5" w:rsidP="003D283A">
            <w:pPr>
              <w:rPr>
                <w:noProof/>
              </w:rPr>
            </w:pPr>
            <w:r w:rsidRPr="00307F78">
              <w:rPr>
                <w:rFonts w:eastAsia="Calibri"/>
                <w:lang w:val="en-US"/>
              </w:rPr>
              <w:t>10) Authors to modify the Regulatory Applicability section to reflect the discussion under agenda item 10.</w:t>
            </w:r>
          </w:p>
        </w:tc>
      </w:tr>
      <w:tr w:rsidR="006951C5" w:rsidTr="003D283A">
        <w:tc>
          <w:tcPr>
            <w:tcW w:w="1101" w:type="dxa"/>
          </w:tcPr>
          <w:p w:rsidR="006951C5" w:rsidRPr="00996DA2" w:rsidRDefault="006951C5" w:rsidP="006951C5">
            <w:pPr>
              <w:rPr>
                <w:b/>
                <w:noProof/>
              </w:rPr>
            </w:pPr>
            <w:r w:rsidRPr="00996DA2">
              <w:rPr>
                <w:b/>
                <w:noProof/>
              </w:rPr>
              <w:t>Intended changes</w:t>
            </w:r>
          </w:p>
        </w:tc>
        <w:tc>
          <w:tcPr>
            <w:tcW w:w="8475" w:type="dxa"/>
          </w:tcPr>
          <w:p w:rsidR="006951C5" w:rsidRPr="006951C5" w:rsidRDefault="006951C5" w:rsidP="006951C5">
            <w:pPr>
              <w:numPr>
                <w:ilvl w:val="0"/>
                <w:numId w:val="9"/>
              </w:numPr>
              <w:tabs>
                <w:tab w:val="clear" w:pos="850"/>
                <w:tab w:val="clear" w:pos="1191"/>
                <w:tab w:val="clear" w:pos="1531"/>
              </w:tabs>
              <w:contextualSpacing/>
              <w:jc w:val="left"/>
              <w:rPr>
                <w:rFonts w:eastAsia="Calibri"/>
              </w:rPr>
            </w:pPr>
            <w:r w:rsidRPr="006951C5">
              <w:rPr>
                <w:rFonts w:eastAsia="Calibri"/>
              </w:rPr>
              <w:t>Uncertainties in relevance for human risk assessment (CYP1A2 involvement, sig. drop in UROD activity required to view clinical symptoms (70%)…inherent activity could play a large role dictating how much inhibition necessary)</w:t>
            </w:r>
          </w:p>
          <w:p w:rsidR="006951C5" w:rsidRPr="006951C5" w:rsidRDefault="006951C5" w:rsidP="006951C5">
            <w:pPr>
              <w:numPr>
                <w:ilvl w:val="0"/>
                <w:numId w:val="9"/>
              </w:numPr>
              <w:tabs>
                <w:tab w:val="clear" w:pos="850"/>
                <w:tab w:val="clear" w:pos="1191"/>
                <w:tab w:val="clear" w:pos="1531"/>
              </w:tabs>
              <w:contextualSpacing/>
              <w:jc w:val="left"/>
              <w:rPr>
                <w:rFonts w:eastAsia="Calibri"/>
              </w:rPr>
            </w:pPr>
            <w:r w:rsidRPr="006951C5">
              <w:rPr>
                <w:rFonts w:eastAsia="Calibri"/>
              </w:rPr>
              <w:t xml:space="preserve">Consider on-going efforts within EURL-ECVAM on tests for measurement receptor-mediated cyp1a2 induction. </w:t>
            </w:r>
          </w:p>
          <w:p w:rsidR="006951C5" w:rsidRPr="006951C5" w:rsidRDefault="006951C5" w:rsidP="006951C5">
            <w:pPr>
              <w:numPr>
                <w:ilvl w:val="1"/>
                <w:numId w:val="9"/>
              </w:numPr>
              <w:tabs>
                <w:tab w:val="clear" w:pos="850"/>
                <w:tab w:val="clear" w:pos="1191"/>
                <w:tab w:val="clear" w:pos="1531"/>
              </w:tabs>
              <w:contextualSpacing/>
              <w:jc w:val="left"/>
              <w:rPr>
                <w:rFonts w:eastAsia="Calibri"/>
              </w:rPr>
            </w:pPr>
            <w:r w:rsidRPr="006951C5">
              <w:rPr>
                <w:rFonts w:eastAsia="Calibri"/>
              </w:rPr>
              <w:t>Report sent by reviewer to primary author</w:t>
            </w:r>
          </w:p>
          <w:p w:rsidR="006951C5" w:rsidRPr="006951C5" w:rsidRDefault="006951C5" w:rsidP="006951C5">
            <w:pPr>
              <w:numPr>
                <w:ilvl w:val="1"/>
                <w:numId w:val="9"/>
              </w:numPr>
              <w:tabs>
                <w:tab w:val="clear" w:pos="850"/>
                <w:tab w:val="clear" w:pos="1191"/>
                <w:tab w:val="clear" w:pos="1531"/>
              </w:tabs>
              <w:contextualSpacing/>
              <w:jc w:val="left"/>
              <w:rPr>
                <w:rFonts w:eastAsia="Calibri"/>
              </w:rPr>
            </w:pPr>
            <w:r w:rsidRPr="006951C5">
              <w:rPr>
                <w:rFonts w:eastAsia="Calibri"/>
              </w:rPr>
              <w:t>Decision to include pending review of document</w:t>
            </w:r>
          </w:p>
        </w:tc>
      </w:tr>
      <w:tr w:rsidR="006951C5" w:rsidTr="003D283A">
        <w:tc>
          <w:tcPr>
            <w:tcW w:w="1101" w:type="dxa"/>
          </w:tcPr>
          <w:p w:rsidR="006951C5" w:rsidRPr="00996DA2" w:rsidRDefault="006951C5" w:rsidP="003D283A">
            <w:pPr>
              <w:spacing w:line="360" w:lineRule="auto"/>
              <w:rPr>
                <w:b/>
                <w:noProof/>
              </w:rPr>
            </w:pPr>
            <w:r w:rsidRPr="00996DA2">
              <w:rPr>
                <w:b/>
                <w:noProof/>
              </w:rPr>
              <w:t>Changes</w:t>
            </w:r>
          </w:p>
        </w:tc>
        <w:tc>
          <w:tcPr>
            <w:tcW w:w="8475" w:type="dxa"/>
          </w:tcPr>
          <w:p w:rsidR="00CD61EE" w:rsidRDefault="00CD61EE" w:rsidP="003D283A">
            <w:pPr>
              <w:pStyle w:val="Paragraphedeliste"/>
              <w:numPr>
                <w:ilvl w:val="0"/>
                <w:numId w:val="3"/>
              </w:numPr>
              <w:rPr>
                <w:noProof/>
              </w:rPr>
            </w:pPr>
            <w:r>
              <w:rPr>
                <w:noProof/>
              </w:rPr>
              <w:t xml:space="preserve">The various uncertainties regarding CYP1A2 involvement in human were clearly stated in the uncertainty section. See text 3.1 and 4.2. </w:t>
            </w:r>
          </w:p>
          <w:p w:rsidR="006951C5" w:rsidRDefault="000C5822" w:rsidP="00230D7B">
            <w:pPr>
              <w:pStyle w:val="Paragraphedeliste"/>
              <w:numPr>
                <w:ilvl w:val="0"/>
                <w:numId w:val="3"/>
              </w:numPr>
              <w:rPr>
                <w:noProof/>
              </w:rPr>
            </w:pPr>
            <w:r>
              <w:rPr>
                <w:noProof/>
              </w:rPr>
              <w:t>The EURL-ECVAM report on measurement of receptor-mediated cyp1a2 induction was</w:t>
            </w:r>
            <w:r w:rsidR="00230D7B">
              <w:rPr>
                <w:noProof/>
              </w:rPr>
              <w:t xml:space="preserve"> included in KE850. See text 8.1</w:t>
            </w:r>
            <w:r>
              <w:rPr>
                <w:noProof/>
              </w:rPr>
              <w:t xml:space="preserve">. </w:t>
            </w:r>
          </w:p>
        </w:tc>
      </w:tr>
    </w:tbl>
    <w:p w:rsidR="00DA2D74" w:rsidRDefault="00DA2D74" w:rsidP="00DA2D74">
      <w:pPr>
        <w:rPr>
          <w:b/>
          <w:szCs w:val="22"/>
        </w:rPr>
      </w:pPr>
    </w:p>
    <w:p w:rsidR="000C5822" w:rsidRDefault="000C5822" w:rsidP="00DA2D74">
      <w:pPr>
        <w:rPr>
          <w:b/>
          <w:szCs w:val="22"/>
        </w:rPr>
      </w:pPr>
    </w:p>
    <w:p w:rsidR="00CD61EE" w:rsidRPr="00CD61EE" w:rsidRDefault="00CD61EE" w:rsidP="00CD61EE">
      <w:pPr>
        <w:pStyle w:val="NormalWeb"/>
        <w:shd w:val="clear" w:color="auto" w:fill="FFFFFF"/>
        <w:spacing w:before="0" w:beforeAutospacing="0" w:after="150" w:afterAutospacing="0"/>
        <w:jc w:val="both"/>
        <w:rPr>
          <w:color w:val="333333"/>
          <w:sz w:val="22"/>
          <w:szCs w:val="22"/>
        </w:rPr>
      </w:pPr>
    </w:p>
    <w:p w:rsidR="00CD61EE" w:rsidRDefault="00CD61EE">
      <w:pPr>
        <w:tabs>
          <w:tab w:val="clear" w:pos="850"/>
          <w:tab w:val="clear" w:pos="1191"/>
          <w:tab w:val="clear" w:pos="1531"/>
        </w:tabs>
        <w:jc w:val="left"/>
        <w:rPr>
          <w:b/>
          <w:szCs w:val="22"/>
          <w:lang w:val="en-US"/>
        </w:rPr>
      </w:pPr>
      <w:r>
        <w:rPr>
          <w:b/>
          <w:szCs w:val="22"/>
          <w:lang w:val="en-US"/>
        </w:rPr>
        <w:br w:type="page"/>
      </w:r>
    </w:p>
    <w:tbl>
      <w:tblPr>
        <w:tblStyle w:val="Grilledutableau"/>
        <w:tblW w:w="0" w:type="auto"/>
        <w:tblLook w:val="04A0" w:firstRow="1" w:lastRow="0" w:firstColumn="1" w:lastColumn="0" w:noHBand="0" w:noVBand="1"/>
      </w:tblPr>
      <w:tblGrid>
        <w:gridCol w:w="1101"/>
        <w:gridCol w:w="8475"/>
      </w:tblGrid>
      <w:tr w:rsidR="00CD61EE" w:rsidTr="003D283A">
        <w:tc>
          <w:tcPr>
            <w:tcW w:w="1101" w:type="dxa"/>
          </w:tcPr>
          <w:p w:rsidR="00CD61EE" w:rsidRPr="00996DA2" w:rsidRDefault="00CD61EE" w:rsidP="003D283A">
            <w:pPr>
              <w:rPr>
                <w:b/>
                <w:noProof/>
              </w:rPr>
            </w:pPr>
            <w:r w:rsidRPr="00996DA2">
              <w:rPr>
                <w:b/>
                <w:noProof/>
              </w:rPr>
              <w:lastRenderedPageBreak/>
              <w:t>Action items</w:t>
            </w:r>
          </w:p>
        </w:tc>
        <w:tc>
          <w:tcPr>
            <w:tcW w:w="8475" w:type="dxa"/>
          </w:tcPr>
          <w:p w:rsidR="00CD61EE" w:rsidRDefault="00CD61EE" w:rsidP="003D283A">
            <w:pPr>
              <w:rPr>
                <w:noProof/>
              </w:rPr>
            </w:pPr>
            <w:r w:rsidRPr="00307F78">
              <w:rPr>
                <w:rFonts w:eastAsia="Calibri"/>
                <w:lang w:val="en-US"/>
              </w:rPr>
              <w:t>11) EAGMSTG to consider the future formatting of AOPs for external review.</w:t>
            </w:r>
          </w:p>
        </w:tc>
      </w:tr>
      <w:tr w:rsidR="00CD61EE" w:rsidTr="003D283A">
        <w:tc>
          <w:tcPr>
            <w:tcW w:w="1101" w:type="dxa"/>
          </w:tcPr>
          <w:p w:rsidR="00CD61EE" w:rsidRPr="00996DA2" w:rsidRDefault="00CD61EE" w:rsidP="00CD61EE">
            <w:pPr>
              <w:rPr>
                <w:b/>
                <w:noProof/>
              </w:rPr>
            </w:pPr>
            <w:r w:rsidRPr="00996DA2">
              <w:rPr>
                <w:b/>
                <w:noProof/>
              </w:rPr>
              <w:t>Intended changes</w:t>
            </w:r>
          </w:p>
        </w:tc>
        <w:tc>
          <w:tcPr>
            <w:tcW w:w="8475" w:type="dxa"/>
          </w:tcPr>
          <w:p w:rsidR="00CD61EE" w:rsidRDefault="00CD61EE" w:rsidP="00CD61EE">
            <w:pPr>
              <w:pStyle w:val="Paragraphedeliste"/>
              <w:numPr>
                <w:ilvl w:val="0"/>
                <w:numId w:val="3"/>
              </w:numPr>
              <w:rPr>
                <w:noProof/>
              </w:rPr>
            </w:pPr>
            <w:r>
              <w:rPr>
                <w:noProof/>
              </w:rPr>
              <w:t xml:space="preserve">None </w:t>
            </w:r>
          </w:p>
        </w:tc>
      </w:tr>
      <w:tr w:rsidR="00CD61EE" w:rsidTr="003D283A">
        <w:tc>
          <w:tcPr>
            <w:tcW w:w="1101" w:type="dxa"/>
          </w:tcPr>
          <w:p w:rsidR="00CD61EE" w:rsidRPr="00996DA2" w:rsidRDefault="00CD61EE" w:rsidP="00CD61EE">
            <w:pPr>
              <w:spacing w:line="360" w:lineRule="auto"/>
              <w:rPr>
                <w:b/>
                <w:noProof/>
              </w:rPr>
            </w:pPr>
            <w:r w:rsidRPr="00996DA2">
              <w:rPr>
                <w:b/>
                <w:noProof/>
              </w:rPr>
              <w:t>Changes</w:t>
            </w:r>
          </w:p>
        </w:tc>
        <w:tc>
          <w:tcPr>
            <w:tcW w:w="8475" w:type="dxa"/>
          </w:tcPr>
          <w:p w:rsidR="00CD61EE" w:rsidRDefault="00CD61EE" w:rsidP="00CD61EE">
            <w:pPr>
              <w:pStyle w:val="Paragraphedeliste"/>
              <w:numPr>
                <w:ilvl w:val="0"/>
                <w:numId w:val="3"/>
              </w:numPr>
              <w:rPr>
                <w:noProof/>
              </w:rPr>
            </w:pPr>
            <w:r>
              <w:rPr>
                <w:noProof/>
              </w:rPr>
              <w:t xml:space="preserve">None </w:t>
            </w:r>
          </w:p>
        </w:tc>
      </w:tr>
    </w:tbl>
    <w:p w:rsidR="00CD61EE" w:rsidRDefault="00CD61EE" w:rsidP="00CD61EE">
      <w:pPr>
        <w:rPr>
          <w:b/>
          <w:szCs w:val="22"/>
          <w:lang w:val="en-US"/>
        </w:rPr>
      </w:pPr>
    </w:p>
    <w:p w:rsidR="00CD61EE" w:rsidRDefault="00CD61EE">
      <w:pPr>
        <w:tabs>
          <w:tab w:val="clear" w:pos="850"/>
          <w:tab w:val="clear" w:pos="1191"/>
          <w:tab w:val="clear" w:pos="1531"/>
        </w:tabs>
        <w:jc w:val="left"/>
        <w:rPr>
          <w:b/>
          <w:szCs w:val="22"/>
          <w:lang w:val="en-US"/>
        </w:rPr>
      </w:pPr>
      <w:r>
        <w:rPr>
          <w:b/>
          <w:szCs w:val="22"/>
          <w:lang w:val="en-US"/>
        </w:rPr>
        <w:br w:type="page"/>
      </w:r>
    </w:p>
    <w:tbl>
      <w:tblPr>
        <w:tblStyle w:val="Grilledutableau"/>
        <w:tblW w:w="0" w:type="auto"/>
        <w:tblLook w:val="04A0" w:firstRow="1" w:lastRow="0" w:firstColumn="1" w:lastColumn="0" w:noHBand="0" w:noVBand="1"/>
      </w:tblPr>
      <w:tblGrid>
        <w:gridCol w:w="1101"/>
        <w:gridCol w:w="8475"/>
      </w:tblGrid>
      <w:tr w:rsidR="00CD61EE" w:rsidTr="003D283A">
        <w:tc>
          <w:tcPr>
            <w:tcW w:w="1101" w:type="dxa"/>
          </w:tcPr>
          <w:p w:rsidR="00CD61EE" w:rsidRPr="00996DA2" w:rsidRDefault="00CD61EE" w:rsidP="003D283A">
            <w:pPr>
              <w:rPr>
                <w:b/>
                <w:noProof/>
              </w:rPr>
            </w:pPr>
            <w:r w:rsidRPr="00996DA2">
              <w:rPr>
                <w:b/>
                <w:noProof/>
              </w:rPr>
              <w:lastRenderedPageBreak/>
              <w:t>Action items</w:t>
            </w:r>
          </w:p>
        </w:tc>
        <w:tc>
          <w:tcPr>
            <w:tcW w:w="8475" w:type="dxa"/>
          </w:tcPr>
          <w:p w:rsidR="00CD61EE" w:rsidRDefault="00CD61EE" w:rsidP="003D283A">
            <w:pPr>
              <w:rPr>
                <w:noProof/>
              </w:rPr>
            </w:pPr>
            <w:r w:rsidRPr="00307F78">
              <w:rPr>
                <w:rFonts w:eastAsia="Calibri"/>
                <w:lang w:val="en-US"/>
              </w:rPr>
              <w:t>12</w:t>
            </w:r>
            <w:r w:rsidRPr="00307F78">
              <w:rPr>
                <w:rFonts w:eastAsia="Calibri"/>
              </w:rPr>
              <w:t>) EAGMSTG and Wiki developers to consider including information on NON-applicability to particular species.</w:t>
            </w:r>
          </w:p>
        </w:tc>
      </w:tr>
      <w:tr w:rsidR="00CD61EE" w:rsidTr="003D283A">
        <w:tc>
          <w:tcPr>
            <w:tcW w:w="1101" w:type="dxa"/>
          </w:tcPr>
          <w:p w:rsidR="00CD61EE" w:rsidRPr="00996DA2" w:rsidRDefault="00CD61EE" w:rsidP="003D283A">
            <w:pPr>
              <w:rPr>
                <w:b/>
                <w:noProof/>
              </w:rPr>
            </w:pPr>
            <w:r w:rsidRPr="00996DA2">
              <w:rPr>
                <w:b/>
                <w:noProof/>
              </w:rPr>
              <w:t>Intended changes</w:t>
            </w:r>
          </w:p>
        </w:tc>
        <w:tc>
          <w:tcPr>
            <w:tcW w:w="8475" w:type="dxa"/>
          </w:tcPr>
          <w:p w:rsidR="00CD61EE" w:rsidRDefault="00CD61EE" w:rsidP="003D283A">
            <w:pPr>
              <w:pStyle w:val="Paragraphedeliste"/>
              <w:numPr>
                <w:ilvl w:val="0"/>
                <w:numId w:val="3"/>
              </w:numPr>
              <w:rPr>
                <w:noProof/>
              </w:rPr>
            </w:pPr>
            <w:r>
              <w:rPr>
                <w:noProof/>
              </w:rPr>
              <w:t xml:space="preserve">None </w:t>
            </w:r>
          </w:p>
        </w:tc>
      </w:tr>
      <w:tr w:rsidR="00CD61EE" w:rsidTr="003D283A">
        <w:tc>
          <w:tcPr>
            <w:tcW w:w="1101" w:type="dxa"/>
          </w:tcPr>
          <w:p w:rsidR="00CD61EE" w:rsidRPr="00996DA2" w:rsidRDefault="00CD61EE" w:rsidP="003D283A">
            <w:pPr>
              <w:spacing w:line="360" w:lineRule="auto"/>
              <w:rPr>
                <w:b/>
                <w:noProof/>
              </w:rPr>
            </w:pPr>
            <w:r w:rsidRPr="00996DA2">
              <w:rPr>
                <w:b/>
                <w:noProof/>
              </w:rPr>
              <w:t>Changes</w:t>
            </w:r>
          </w:p>
        </w:tc>
        <w:tc>
          <w:tcPr>
            <w:tcW w:w="8475" w:type="dxa"/>
          </w:tcPr>
          <w:p w:rsidR="00CD61EE" w:rsidRDefault="00CD61EE" w:rsidP="003D283A">
            <w:pPr>
              <w:pStyle w:val="Paragraphedeliste"/>
              <w:numPr>
                <w:ilvl w:val="0"/>
                <w:numId w:val="3"/>
              </w:numPr>
              <w:rPr>
                <w:noProof/>
              </w:rPr>
            </w:pPr>
            <w:r>
              <w:rPr>
                <w:noProof/>
              </w:rPr>
              <w:t xml:space="preserve">None </w:t>
            </w:r>
          </w:p>
        </w:tc>
      </w:tr>
    </w:tbl>
    <w:p w:rsidR="00CD61EE" w:rsidRDefault="00CD61EE" w:rsidP="00CD61EE">
      <w:pPr>
        <w:rPr>
          <w:b/>
          <w:szCs w:val="22"/>
          <w:lang w:val="en-US"/>
        </w:rPr>
      </w:pPr>
    </w:p>
    <w:p w:rsidR="00CD61EE" w:rsidRDefault="00CD61EE">
      <w:pPr>
        <w:tabs>
          <w:tab w:val="clear" w:pos="850"/>
          <w:tab w:val="clear" w:pos="1191"/>
          <w:tab w:val="clear" w:pos="1531"/>
        </w:tabs>
        <w:jc w:val="left"/>
        <w:rPr>
          <w:b/>
          <w:szCs w:val="22"/>
          <w:lang w:val="en-US"/>
        </w:rPr>
      </w:pPr>
      <w:r>
        <w:rPr>
          <w:b/>
          <w:szCs w:val="22"/>
          <w:lang w:val="en-US"/>
        </w:rPr>
        <w:br w:type="page"/>
      </w:r>
    </w:p>
    <w:tbl>
      <w:tblPr>
        <w:tblStyle w:val="Grilledutableau"/>
        <w:tblW w:w="0" w:type="auto"/>
        <w:tblLook w:val="04A0" w:firstRow="1" w:lastRow="0" w:firstColumn="1" w:lastColumn="0" w:noHBand="0" w:noVBand="1"/>
      </w:tblPr>
      <w:tblGrid>
        <w:gridCol w:w="1242"/>
        <w:gridCol w:w="8334"/>
      </w:tblGrid>
      <w:tr w:rsidR="00CD61EE" w:rsidTr="00CD61EE">
        <w:tc>
          <w:tcPr>
            <w:tcW w:w="1242" w:type="dxa"/>
          </w:tcPr>
          <w:p w:rsidR="00CD61EE" w:rsidRPr="00996DA2" w:rsidRDefault="00CD61EE" w:rsidP="003D283A">
            <w:pPr>
              <w:rPr>
                <w:b/>
                <w:noProof/>
              </w:rPr>
            </w:pPr>
            <w:r>
              <w:rPr>
                <w:b/>
                <w:noProof/>
              </w:rPr>
              <w:lastRenderedPageBreak/>
              <w:t>Comment Annexe #2</w:t>
            </w:r>
          </w:p>
        </w:tc>
        <w:tc>
          <w:tcPr>
            <w:tcW w:w="8334" w:type="dxa"/>
          </w:tcPr>
          <w:p w:rsidR="00CD61EE" w:rsidRDefault="00CD61EE" w:rsidP="003D283A">
            <w:pPr>
              <w:rPr>
                <w:noProof/>
              </w:rPr>
            </w:pPr>
            <w:r w:rsidRPr="00307F78">
              <w:rPr>
                <w:rFonts w:eastAsia="Calibri"/>
                <w:lang w:val="en-US"/>
              </w:rPr>
              <w:t xml:space="preserve">11a) Abstract: Second sentence is incorrect. There are 8 enzymes of the pathway in liver and hepatic </w:t>
            </w:r>
            <w:proofErr w:type="spellStart"/>
            <w:r w:rsidRPr="00307F78">
              <w:rPr>
                <w:rFonts w:eastAsia="Calibri"/>
                <w:lang w:val="en-US"/>
              </w:rPr>
              <w:t>uroporphyria</w:t>
            </w:r>
            <w:proofErr w:type="spellEnd"/>
            <w:r w:rsidRPr="00307F78">
              <w:rPr>
                <w:rFonts w:eastAsia="Calibri"/>
                <w:lang w:val="en-US"/>
              </w:rPr>
              <w:t xml:space="preserve"> is really the consequence of only inhibition of UROD</w:t>
            </w:r>
          </w:p>
        </w:tc>
      </w:tr>
      <w:tr w:rsidR="00CD61EE" w:rsidTr="00CD61EE">
        <w:tc>
          <w:tcPr>
            <w:tcW w:w="1242" w:type="dxa"/>
          </w:tcPr>
          <w:p w:rsidR="00CD61EE" w:rsidRPr="00996DA2" w:rsidRDefault="00CD61EE" w:rsidP="00CD61EE">
            <w:pPr>
              <w:rPr>
                <w:b/>
                <w:noProof/>
              </w:rPr>
            </w:pPr>
            <w:r w:rsidRPr="00996DA2">
              <w:rPr>
                <w:b/>
                <w:noProof/>
              </w:rPr>
              <w:t>Intended changes</w:t>
            </w:r>
          </w:p>
        </w:tc>
        <w:tc>
          <w:tcPr>
            <w:tcW w:w="8334" w:type="dxa"/>
          </w:tcPr>
          <w:p w:rsidR="00CD61EE" w:rsidRPr="00CD61EE" w:rsidRDefault="00CD61EE" w:rsidP="00CD61EE">
            <w:pPr>
              <w:numPr>
                <w:ilvl w:val="0"/>
                <w:numId w:val="9"/>
              </w:numPr>
              <w:tabs>
                <w:tab w:val="clear" w:pos="850"/>
                <w:tab w:val="clear" w:pos="1191"/>
                <w:tab w:val="clear" w:pos="1531"/>
                <w:tab w:val="left" w:pos="1560"/>
              </w:tabs>
              <w:contextualSpacing/>
              <w:jc w:val="left"/>
              <w:rPr>
                <w:rFonts w:eastAsia="Calibri"/>
                <w:lang w:val="en-US"/>
              </w:rPr>
            </w:pPr>
            <w:r w:rsidRPr="00CD61EE">
              <w:rPr>
                <w:rFonts w:eastAsia="Calibri"/>
                <w:lang w:val="en-US"/>
              </w:rPr>
              <w:t>Corrected by addressing TC action items 1 and 9.</w:t>
            </w:r>
          </w:p>
        </w:tc>
      </w:tr>
      <w:tr w:rsidR="00CD61EE" w:rsidTr="00CD61EE">
        <w:tc>
          <w:tcPr>
            <w:tcW w:w="1242" w:type="dxa"/>
          </w:tcPr>
          <w:p w:rsidR="00CD61EE" w:rsidRPr="00996DA2" w:rsidRDefault="00CD61EE" w:rsidP="00CD61EE">
            <w:pPr>
              <w:spacing w:line="360" w:lineRule="auto"/>
              <w:rPr>
                <w:b/>
                <w:noProof/>
              </w:rPr>
            </w:pPr>
            <w:r w:rsidRPr="00996DA2">
              <w:rPr>
                <w:b/>
                <w:noProof/>
              </w:rPr>
              <w:t>Changes</w:t>
            </w:r>
          </w:p>
        </w:tc>
        <w:tc>
          <w:tcPr>
            <w:tcW w:w="8334" w:type="dxa"/>
          </w:tcPr>
          <w:p w:rsidR="00CD61EE" w:rsidRPr="00CD61EE" w:rsidRDefault="00CD61EE" w:rsidP="00CD61EE">
            <w:pPr>
              <w:numPr>
                <w:ilvl w:val="0"/>
                <w:numId w:val="9"/>
              </w:numPr>
              <w:tabs>
                <w:tab w:val="clear" w:pos="850"/>
                <w:tab w:val="clear" w:pos="1191"/>
                <w:tab w:val="clear" w:pos="1531"/>
                <w:tab w:val="left" w:pos="1560"/>
              </w:tabs>
              <w:contextualSpacing/>
              <w:jc w:val="left"/>
              <w:rPr>
                <w:rFonts w:eastAsia="Calibri"/>
                <w:lang w:val="en-US"/>
              </w:rPr>
            </w:pPr>
            <w:r w:rsidRPr="00CD61EE">
              <w:rPr>
                <w:rFonts w:eastAsia="Calibri"/>
                <w:lang w:val="en-US"/>
              </w:rPr>
              <w:t>Corrected by addressing TC action items 1 and 9.</w:t>
            </w:r>
          </w:p>
        </w:tc>
      </w:tr>
    </w:tbl>
    <w:p w:rsidR="00CD61EE" w:rsidRDefault="00CD61EE" w:rsidP="00CD61EE">
      <w:pPr>
        <w:rPr>
          <w:b/>
          <w:szCs w:val="22"/>
          <w:lang w:val="en-US"/>
        </w:rPr>
      </w:pPr>
    </w:p>
    <w:p w:rsidR="00CD61EE" w:rsidRDefault="00CD61EE">
      <w:pPr>
        <w:tabs>
          <w:tab w:val="clear" w:pos="850"/>
          <w:tab w:val="clear" w:pos="1191"/>
          <w:tab w:val="clear" w:pos="1531"/>
        </w:tabs>
        <w:jc w:val="left"/>
        <w:rPr>
          <w:b/>
          <w:szCs w:val="22"/>
          <w:lang w:val="en-US"/>
        </w:rPr>
      </w:pPr>
      <w:r>
        <w:rPr>
          <w:b/>
          <w:szCs w:val="22"/>
          <w:lang w:val="en-US"/>
        </w:rPr>
        <w:br w:type="page"/>
      </w:r>
    </w:p>
    <w:tbl>
      <w:tblPr>
        <w:tblStyle w:val="Grilledutableau"/>
        <w:tblW w:w="0" w:type="auto"/>
        <w:tblLook w:val="04A0" w:firstRow="1" w:lastRow="0" w:firstColumn="1" w:lastColumn="0" w:noHBand="0" w:noVBand="1"/>
      </w:tblPr>
      <w:tblGrid>
        <w:gridCol w:w="1242"/>
        <w:gridCol w:w="8334"/>
      </w:tblGrid>
      <w:tr w:rsidR="00CD61EE" w:rsidTr="003D283A">
        <w:tc>
          <w:tcPr>
            <w:tcW w:w="1242" w:type="dxa"/>
          </w:tcPr>
          <w:p w:rsidR="00CD61EE" w:rsidRPr="00996DA2" w:rsidRDefault="00CD61EE" w:rsidP="003D283A">
            <w:pPr>
              <w:rPr>
                <w:b/>
                <w:noProof/>
              </w:rPr>
            </w:pPr>
            <w:r>
              <w:rPr>
                <w:b/>
                <w:noProof/>
              </w:rPr>
              <w:lastRenderedPageBreak/>
              <w:t>Comment Annexe #2</w:t>
            </w:r>
          </w:p>
        </w:tc>
        <w:tc>
          <w:tcPr>
            <w:tcW w:w="8334" w:type="dxa"/>
          </w:tcPr>
          <w:p w:rsidR="00CD61EE" w:rsidRDefault="00CD61EE" w:rsidP="003D283A">
            <w:pPr>
              <w:rPr>
                <w:noProof/>
              </w:rPr>
            </w:pPr>
            <w:r w:rsidRPr="00307F78">
              <w:rPr>
                <w:rFonts w:eastAsia="Calibri"/>
                <w:lang w:val="en-US"/>
              </w:rPr>
              <w:t>14) Table 3, Temporal concordance: Davies at al. 2008 results depicted incor</w:t>
            </w:r>
            <w:r>
              <w:rPr>
                <w:rFonts w:eastAsia="Calibri"/>
                <w:lang w:val="en-US"/>
              </w:rPr>
              <w:t>r</w:t>
            </w:r>
            <w:r w:rsidRPr="00307F78">
              <w:rPr>
                <w:rFonts w:eastAsia="Calibri"/>
                <w:lang w:val="en-US"/>
              </w:rPr>
              <w:t>ectly</w:t>
            </w:r>
          </w:p>
        </w:tc>
      </w:tr>
      <w:tr w:rsidR="00CD61EE" w:rsidTr="003D283A">
        <w:tc>
          <w:tcPr>
            <w:tcW w:w="1242" w:type="dxa"/>
          </w:tcPr>
          <w:p w:rsidR="00CD61EE" w:rsidRPr="00996DA2" w:rsidRDefault="00CD61EE" w:rsidP="003D283A">
            <w:pPr>
              <w:rPr>
                <w:b/>
                <w:noProof/>
              </w:rPr>
            </w:pPr>
            <w:r w:rsidRPr="00996DA2">
              <w:rPr>
                <w:b/>
                <w:noProof/>
              </w:rPr>
              <w:t>Intended changes</w:t>
            </w:r>
          </w:p>
        </w:tc>
        <w:tc>
          <w:tcPr>
            <w:tcW w:w="8334" w:type="dxa"/>
          </w:tcPr>
          <w:p w:rsidR="00CD61EE" w:rsidRPr="00CD61EE" w:rsidRDefault="00CD61EE" w:rsidP="00CD61EE">
            <w:pPr>
              <w:numPr>
                <w:ilvl w:val="0"/>
                <w:numId w:val="9"/>
              </w:numPr>
              <w:tabs>
                <w:tab w:val="clear" w:pos="850"/>
                <w:tab w:val="clear" w:pos="1191"/>
                <w:tab w:val="clear" w:pos="1531"/>
              </w:tabs>
              <w:spacing w:after="200"/>
              <w:contextualSpacing/>
              <w:jc w:val="left"/>
              <w:rPr>
                <w:rFonts w:eastAsia="Calibri"/>
                <w:sz w:val="20"/>
                <w:lang w:val="en-AU"/>
              </w:rPr>
            </w:pPr>
            <w:r w:rsidRPr="00CD61EE">
              <w:rPr>
                <w:rFonts w:eastAsia="Calibri"/>
                <w:sz w:val="20"/>
                <w:lang w:val="en-AU"/>
              </w:rPr>
              <w:t xml:space="preserve">Add the corrected CYP1A2 values and include the relative porphyrin levels in the last column (0, 56, 677).  </w:t>
            </w:r>
          </w:p>
          <w:p w:rsidR="00CD61EE" w:rsidRPr="00CD61EE" w:rsidRDefault="00CD61EE" w:rsidP="00CD61EE">
            <w:pPr>
              <w:numPr>
                <w:ilvl w:val="1"/>
                <w:numId w:val="9"/>
              </w:numPr>
              <w:tabs>
                <w:tab w:val="clear" w:pos="850"/>
                <w:tab w:val="clear" w:pos="1191"/>
                <w:tab w:val="clear" w:pos="1531"/>
              </w:tabs>
              <w:spacing w:after="200"/>
              <w:contextualSpacing/>
              <w:jc w:val="left"/>
              <w:rPr>
                <w:rFonts w:eastAsia="Calibri"/>
                <w:sz w:val="20"/>
                <w:lang w:val="en-AU"/>
              </w:rPr>
            </w:pPr>
            <w:r w:rsidRPr="00CD61EE">
              <w:rPr>
                <w:rFonts w:eastAsia="Calibri"/>
                <w:sz w:val="20"/>
                <w:lang w:val="en-AU"/>
              </w:rPr>
              <w:t>The 20 and 270 refer to absolute values of porphyrins (from Figure 1A) and the text states that this is a 56 and 677-fold change, so effectively give the same information.</w:t>
            </w:r>
          </w:p>
          <w:p w:rsidR="00CD61EE" w:rsidRPr="00CD61EE" w:rsidRDefault="00CD61EE" w:rsidP="00CD61EE">
            <w:pPr>
              <w:numPr>
                <w:ilvl w:val="0"/>
                <w:numId w:val="9"/>
              </w:numPr>
              <w:tabs>
                <w:tab w:val="clear" w:pos="850"/>
                <w:tab w:val="clear" w:pos="1191"/>
                <w:tab w:val="clear" w:pos="1531"/>
                <w:tab w:val="left" w:pos="1560"/>
              </w:tabs>
              <w:contextualSpacing/>
              <w:jc w:val="left"/>
              <w:rPr>
                <w:rFonts w:eastAsia="Calibri"/>
                <w:lang w:val="en-US"/>
              </w:rPr>
            </w:pPr>
            <w:r w:rsidRPr="00CD61EE">
              <w:rPr>
                <w:rFonts w:eastAsia="Calibri"/>
                <w:sz w:val="20"/>
                <w:lang w:val="en-AU"/>
              </w:rPr>
              <w:t xml:space="preserve">The UROD column will be left blank.  </w:t>
            </w:r>
          </w:p>
        </w:tc>
      </w:tr>
      <w:tr w:rsidR="00CD61EE" w:rsidTr="003D283A">
        <w:tc>
          <w:tcPr>
            <w:tcW w:w="1242" w:type="dxa"/>
          </w:tcPr>
          <w:p w:rsidR="00CD61EE" w:rsidRPr="00996DA2" w:rsidRDefault="00CD61EE" w:rsidP="003D283A">
            <w:pPr>
              <w:spacing w:line="360" w:lineRule="auto"/>
              <w:rPr>
                <w:b/>
                <w:noProof/>
              </w:rPr>
            </w:pPr>
            <w:r w:rsidRPr="00996DA2">
              <w:rPr>
                <w:b/>
                <w:noProof/>
              </w:rPr>
              <w:t>Changes</w:t>
            </w:r>
          </w:p>
        </w:tc>
        <w:tc>
          <w:tcPr>
            <w:tcW w:w="8334" w:type="dxa"/>
          </w:tcPr>
          <w:p w:rsidR="00CD61EE" w:rsidRPr="00CD61EE" w:rsidRDefault="00D84262" w:rsidP="003D283A">
            <w:pPr>
              <w:numPr>
                <w:ilvl w:val="0"/>
                <w:numId w:val="9"/>
              </w:numPr>
              <w:tabs>
                <w:tab w:val="clear" w:pos="850"/>
                <w:tab w:val="clear" w:pos="1191"/>
                <w:tab w:val="clear" w:pos="1531"/>
                <w:tab w:val="left" w:pos="1560"/>
              </w:tabs>
              <w:contextualSpacing/>
              <w:jc w:val="left"/>
              <w:rPr>
                <w:rFonts w:eastAsia="Calibri"/>
                <w:lang w:val="en-US"/>
              </w:rPr>
            </w:pPr>
            <w:r>
              <w:rPr>
                <w:rFonts w:eastAsia="Calibri"/>
                <w:lang w:val="en-US"/>
              </w:rPr>
              <w:t>The table was modified. See Table 14.1</w:t>
            </w:r>
          </w:p>
        </w:tc>
      </w:tr>
    </w:tbl>
    <w:p w:rsidR="000C5822" w:rsidRDefault="000C5822" w:rsidP="00CD61EE">
      <w:pPr>
        <w:rPr>
          <w:b/>
          <w:szCs w:val="22"/>
        </w:rPr>
      </w:pPr>
    </w:p>
    <w:p w:rsidR="00D84262" w:rsidRDefault="00D84262" w:rsidP="00CD61EE">
      <w:pPr>
        <w:rPr>
          <w:b/>
          <w:szCs w:val="22"/>
        </w:rPr>
      </w:pPr>
    </w:p>
    <w:p w:rsidR="00D84262" w:rsidRDefault="00D84262" w:rsidP="00CD61EE">
      <w:pPr>
        <w:rPr>
          <w:b/>
          <w:szCs w:val="22"/>
        </w:rPr>
      </w:pPr>
      <w:r>
        <w:rPr>
          <w:b/>
          <w:szCs w:val="22"/>
        </w:rPr>
        <w:t>Table 14.1</w:t>
      </w:r>
    </w:p>
    <w:p w:rsidR="00D84262" w:rsidRDefault="00D84262" w:rsidP="00CD61EE">
      <w:pPr>
        <w:rPr>
          <w:b/>
          <w:szCs w:val="22"/>
        </w:rPr>
      </w:pPr>
    </w:p>
    <w:p w:rsidR="00D84262" w:rsidRDefault="00D84262" w:rsidP="00CD61EE">
      <w:pPr>
        <w:rPr>
          <w:b/>
          <w:szCs w:val="22"/>
        </w:rPr>
      </w:pPr>
      <w:r>
        <w:rPr>
          <w:noProof/>
          <w:lang w:val="en-US"/>
        </w:rPr>
        <w:drawing>
          <wp:inline distT="0" distB="0" distL="0" distR="0">
            <wp:extent cx="5839460" cy="4592955"/>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39460" cy="4592955"/>
                    </a:xfrm>
                    <a:prstGeom prst="rect">
                      <a:avLst/>
                    </a:prstGeom>
                    <a:noFill/>
                    <a:ln>
                      <a:noFill/>
                    </a:ln>
                  </pic:spPr>
                </pic:pic>
              </a:graphicData>
            </a:graphic>
          </wp:inline>
        </w:drawing>
      </w:r>
    </w:p>
    <w:p w:rsidR="00D84262" w:rsidRDefault="00D84262">
      <w:pPr>
        <w:tabs>
          <w:tab w:val="clear" w:pos="850"/>
          <w:tab w:val="clear" w:pos="1191"/>
          <w:tab w:val="clear" w:pos="1531"/>
        </w:tabs>
        <w:jc w:val="left"/>
        <w:rPr>
          <w:b/>
          <w:szCs w:val="22"/>
        </w:rPr>
      </w:pPr>
      <w:r>
        <w:rPr>
          <w:b/>
          <w:szCs w:val="22"/>
        </w:rPr>
        <w:br w:type="page"/>
      </w:r>
    </w:p>
    <w:tbl>
      <w:tblPr>
        <w:tblStyle w:val="Grilledutableau"/>
        <w:tblW w:w="0" w:type="auto"/>
        <w:tblLook w:val="04A0" w:firstRow="1" w:lastRow="0" w:firstColumn="1" w:lastColumn="0" w:noHBand="0" w:noVBand="1"/>
      </w:tblPr>
      <w:tblGrid>
        <w:gridCol w:w="1242"/>
        <w:gridCol w:w="8334"/>
      </w:tblGrid>
      <w:tr w:rsidR="00D84262" w:rsidTr="003D283A">
        <w:tc>
          <w:tcPr>
            <w:tcW w:w="1242" w:type="dxa"/>
          </w:tcPr>
          <w:p w:rsidR="00D84262" w:rsidRPr="00996DA2" w:rsidRDefault="00D84262" w:rsidP="003D283A">
            <w:pPr>
              <w:rPr>
                <w:b/>
                <w:noProof/>
              </w:rPr>
            </w:pPr>
            <w:r>
              <w:rPr>
                <w:b/>
                <w:noProof/>
              </w:rPr>
              <w:lastRenderedPageBreak/>
              <w:t>Comment Annexe #2</w:t>
            </w:r>
          </w:p>
        </w:tc>
        <w:tc>
          <w:tcPr>
            <w:tcW w:w="8334" w:type="dxa"/>
          </w:tcPr>
          <w:p w:rsidR="00D84262" w:rsidRDefault="00D84262" w:rsidP="003D283A">
            <w:pPr>
              <w:rPr>
                <w:noProof/>
              </w:rPr>
            </w:pPr>
            <w:r w:rsidRPr="00307F78">
              <w:rPr>
                <w:rFonts w:eastAsia="Calibri"/>
                <w:lang w:val="en-US"/>
              </w:rPr>
              <w:t xml:space="preserve">28) What is unclear from cited studies is how CYP1A2 induction and UROX ultimately lead to UROD inhibition?  Is this a direct or indirect effect?  </w:t>
            </w:r>
          </w:p>
        </w:tc>
      </w:tr>
      <w:tr w:rsidR="00D84262" w:rsidTr="003D283A">
        <w:tc>
          <w:tcPr>
            <w:tcW w:w="1242" w:type="dxa"/>
          </w:tcPr>
          <w:p w:rsidR="00D84262" w:rsidRPr="00996DA2" w:rsidRDefault="00D84262" w:rsidP="003D283A">
            <w:pPr>
              <w:rPr>
                <w:b/>
                <w:noProof/>
              </w:rPr>
            </w:pPr>
            <w:r w:rsidRPr="00996DA2">
              <w:rPr>
                <w:b/>
                <w:noProof/>
              </w:rPr>
              <w:t>Intended changes</w:t>
            </w:r>
          </w:p>
        </w:tc>
        <w:tc>
          <w:tcPr>
            <w:tcW w:w="8334" w:type="dxa"/>
          </w:tcPr>
          <w:p w:rsidR="00D84262" w:rsidRPr="00307F78" w:rsidRDefault="00D84262" w:rsidP="00D84262">
            <w:pPr>
              <w:numPr>
                <w:ilvl w:val="0"/>
                <w:numId w:val="9"/>
              </w:numPr>
              <w:tabs>
                <w:tab w:val="clear" w:pos="850"/>
                <w:tab w:val="clear" w:pos="1191"/>
                <w:tab w:val="clear" w:pos="1531"/>
                <w:tab w:val="left" w:pos="1560"/>
              </w:tabs>
              <w:contextualSpacing/>
              <w:jc w:val="left"/>
              <w:rPr>
                <w:rFonts w:eastAsia="Calibri"/>
                <w:lang w:val="en-US"/>
              </w:rPr>
            </w:pPr>
            <w:r w:rsidRPr="00307F78">
              <w:rPr>
                <w:rFonts w:eastAsia="Calibri"/>
                <w:lang w:val="en-US"/>
              </w:rPr>
              <w:t>Describe positive feedback loop in AOP main page (maybe in abstract, or in separate section)</w:t>
            </w:r>
          </w:p>
          <w:p w:rsidR="00D84262" w:rsidRPr="002B57AF" w:rsidRDefault="00D84262" w:rsidP="00D84262">
            <w:pPr>
              <w:numPr>
                <w:ilvl w:val="1"/>
                <w:numId w:val="9"/>
              </w:numPr>
              <w:tabs>
                <w:tab w:val="clear" w:pos="850"/>
                <w:tab w:val="clear" w:pos="1191"/>
                <w:tab w:val="clear" w:pos="1531"/>
                <w:tab w:val="left" w:pos="1560"/>
              </w:tabs>
              <w:contextualSpacing/>
              <w:jc w:val="left"/>
              <w:rPr>
                <w:rFonts w:eastAsia="Calibri"/>
                <w:lang w:val="en-US"/>
              </w:rPr>
            </w:pPr>
            <w:r w:rsidRPr="002B57AF">
              <w:rPr>
                <w:rFonts w:eastAsia="Calibri"/>
                <w:lang w:val="en-US"/>
              </w:rPr>
              <w:t xml:space="preserve">Add </w:t>
            </w:r>
            <w:r w:rsidRPr="002B57AF">
              <w:rPr>
                <w:rFonts w:eastAsia="Calibri"/>
                <w:u w:val="single"/>
                <w:lang w:val="en-US"/>
              </w:rPr>
              <w:t>qualitative</w:t>
            </w:r>
            <w:r w:rsidRPr="002B57AF">
              <w:rPr>
                <w:rFonts w:eastAsia="Calibri"/>
                <w:lang w:val="en-US"/>
              </w:rPr>
              <w:t xml:space="preserve"> positive feedback loop in graphic representation of AOP (simply for explanatory purposes; will not involve the addition of any new KERs)</w:t>
            </w:r>
          </w:p>
          <w:p w:rsidR="00D84262" w:rsidRPr="00D84262" w:rsidRDefault="00D84262" w:rsidP="00D84262">
            <w:pPr>
              <w:numPr>
                <w:ilvl w:val="1"/>
                <w:numId w:val="9"/>
              </w:numPr>
              <w:tabs>
                <w:tab w:val="clear" w:pos="850"/>
                <w:tab w:val="clear" w:pos="1191"/>
                <w:tab w:val="clear" w:pos="1531"/>
                <w:tab w:val="left" w:pos="1560"/>
              </w:tabs>
              <w:contextualSpacing/>
              <w:jc w:val="left"/>
              <w:rPr>
                <w:rFonts w:eastAsia="Calibri"/>
                <w:lang w:val="en-US"/>
              </w:rPr>
            </w:pPr>
            <w:r w:rsidRPr="00307F78">
              <w:rPr>
                <w:rFonts w:eastAsia="Calibri"/>
                <w:lang w:val="en-US"/>
              </w:rPr>
              <w:t xml:space="preserve">Careful to mention uncertainty in UROD </w:t>
            </w:r>
            <w:proofErr w:type="spellStart"/>
            <w:r w:rsidRPr="00307F78">
              <w:rPr>
                <w:rFonts w:eastAsia="Calibri"/>
                <w:lang w:val="en-US"/>
              </w:rPr>
              <w:t>inhib</w:t>
            </w:r>
            <w:proofErr w:type="spellEnd"/>
            <w:r w:rsidRPr="00307F78">
              <w:rPr>
                <w:rFonts w:eastAsia="Calibri"/>
                <w:lang w:val="en-US"/>
              </w:rPr>
              <w:t xml:space="preserve"> for birds…</w:t>
            </w:r>
            <w:proofErr w:type="spellStart"/>
            <w:r w:rsidRPr="00307F78">
              <w:rPr>
                <w:rFonts w:eastAsia="Calibri"/>
                <w:lang w:val="en-US"/>
              </w:rPr>
              <w:t>ie</w:t>
            </w:r>
            <w:proofErr w:type="spellEnd"/>
            <w:r w:rsidRPr="00307F78">
              <w:rPr>
                <w:rFonts w:eastAsia="Calibri"/>
                <w:lang w:val="en-US"/>
              </w:rPr>
              <w:t xml:space="preserve">. CYP1A2 induction </w:t>
            </w:r>
            <w:r w:rsidRPr="00D84262">
              <w:rPr>
                <w:rFonts w:eastAsia="Calibri"/>
                <w:lang w:val="en-US"/>
              </w:rPr>
              <w:t>enough to drive UROX.</w:t>
            </w:r>
          </w:p>
          <w:p w:rsidR="00D84262" w:rsidRPr="00D84262" w:rsidRDefault="00D84262" w:rsidP="00D84262">
            <w:pPr>
              <w:numPr>
                <w:ilvl w:val="0"/>
                <w:numId w:val="9"/>
              </w:numPr>
              <w:tabs>
                <w:tab w:val="clear" w:pos="850"/>
                <w:tab w:val="clear" w:pos="1191"/>
                <w:tab w:val="clear" w:pos="1531"/>
                <w:tab w:val="left" w:pos="1560"/>
              </w:tabs>
              <w:contextualSpacing/>
              <w:jc w:val="left"/>
              <w:rPr>
                <w:rFonts w:eastAsia="Calibri"/>
                <w:lang w:val="en-US"/>
              </w:rPr>
            </w:pPr>
            <w:bookmarkStart w:id="1" w:name="_Hlk513537070"/>
            <w:r w:rsidRPr="00D84262">
              <w:rPr>
                <w:rFonts w:eastAsia="Calibri"/>
                <w:lang w:val="en-US"/>
              </w:rPr>
              <w:t>Also include discussion of positive feedback look in appropriate KERs under the new section titled “Known Feedforward/Feedback loops influencing this KER”</w:t>
            </w:r>
          </w:p>
          <w:p w:rsidR="00D84262" w:rsidRPr="00D84262" w:rsidRDefault="00D84262" w:rsidP="00D84262">
            <w:pPr>
              <w:numPr>
                <w:ilvl w:val="1"/>
                <w:numId w:val="9"/>
              </w:numPr>
              <w:tabs>
                <w:tab w:val="clear" w:pos="850"/>
                <w:tab w:val="clear" w:pos="1191"/>
                <w:tab w:val="clear" w:pos="1531"/>
                <w:tab w:val="left" w:pos="1560"/>
              </w:tabs>
              <w:contextualSpacing/>
              <w:jc w:val="left"/>
              <w:rPr>
                <w:rFonts w:eastAsia="Calibri"/>
                <w:lang w:val="en-US"/>
              </w:rPr>
            </w:pPr>
            <w:r w:rsidRPr="00D84262">
              <w:rPr>
                <w:rFonts w:eastAsia="Calibri"/>
                <w:lang w:val="en-US"/>
              </w:rPr>
              <w:t xml:space="preserve">Mainly under KER1070 (UROD </w:t>
            </w:r>
            <w:proofErr w:type="spellStart"/>
            <w:r w:rsidRPr="00D84262">
              <w:rPr>
                <w:rFonts w:eastAsia="Calibri"/>
                <w:lang w:val="en-US"/>
              </w:rPr>
              <w:t>inhib</w:t>
            </w:r>
            <w:proofErr w:type="spellEnd"/>
            <w:r w:rsidRPr="00D84262">
              <w:rPr>
                <w:rFonts w:eastAsia="Calibri"/>
                <w:lang w:val="en-US"/>
              </w:rPr>
              <w:t>.</w:t>
            </w:r>
            <w:r w:rsidRPr="00D84262">
              <w:rPr>
                <w:rFonts w:eastAsia="Calibri"/>
                <w:lang w:val="en-US"/>
              </w:rPr>
              <w:sym w:font="Wingdings" w:char="F0E0"/>
            </w:r>
            <w:r w:rsidRPr="00D84262">
              <w:rPr>
                <w:rFonts w:eastAsia="Calibri"/>
                <w:lang w:val="en-US"/>
              </w:rPr>
              <w:t xml:space="preserve">  HCP acc.) since this isn’t a direct relationship</w:t>
            </w:r>
          </w:p>
          <w:p w:rsidR="00D84262" w:rsidRPr="00CD61EE" w:rsidRDefault="00D84262" w:rsidP="00D84262">
            <w:pPr>
              <w:numPr>
                <w:ilvl w:val="0"/>
                <w:numId w:val="9"/>
              </w:numPr>
              <w:tabs>
                <w:tab w:val="clear" w:pos="850"/>
                <w:tab w:val="clear" w:pos="1191"/>
                <w:tab w:val="clear" w:pos="1531"/>
                <w:tab w:val="left" w:pos="1560"/>
              </w:tabs>
              <w:contextualSpacing/>
              <w:jc w:val="left"/>
              <w:rPr>
                <w:rFonts w:eastAsia="Calibri"/>
                <w:lang w:val="en-US"/>
              </w:rPr>
            </w:pPr>
            <w:r w:rsidRPr="00D84262">
              <w:rPr>
                <w:rFonts w:eastAsia="Calibri"/>
                <w:lang w:val="en-US"/>
              </w:rPr>
              <w:t>Potentially under KER865 and 868</w:t>
            </w:r>
            <w:bookmarkEnd w:id="1"/>
          </w:p>
        </w:tc>
      </w:tr>
      <w:tr w:rsidR="00D84262" w:rsidTr="003D283A">
        <w:tc>
          <w:tcPr>
            <w:tcW w:w="1242" w:type="dxa"/>
          </w:tcPr>
          <w:p w:rsidR="00D84262" w:rsidRPr="00996DA2" w:rsidRDefault="00D84262" w:rsidP="003D283A">
            <w:pPr>
              <w:spacing w:line="360" w:lineRule="auto"/>
              <w:rPr>
                <w:b/>
                <w:noProof/>
              </w:rPr>
            </w:pPr>
            <w:r w:rsidRPr="00996DA2">
              <w:rPr>
                <w:b/>
                <w:noProof/>
              </w:rPr>
              <w:t>Changes</w:t>
            </w:r>
          </w:p>
        </w:tc>
        <w:tc>
          <w:tcPr>
            <w:tcW w:w="8334" w:type="dxa"/>
          </w:tcPr>
          <w:p w:rsidR="002B57AF" w:rsidRDefault="002B57AF" w:rsidP="003D283A">
            <w:pPr>
              <w:numPr>
                <w:ilvl w:val="0"/>
                <w:numId w:val="9"/>
              </w:numPr>
              <w:tabs>
                <w:tab w:val="clear" w:pos="850"/>
                <w:tab w:val="clear" w:pos="1191"/>
                <w:tab w:val="clear" w:pos="1531"/>
                <w:tab w:val="left" w:pos="1560"/>
              </w:tabs>
              <w:contextualSpacing/>
              <w:jc w:val="left"/>
              <w:rPr>
                <w:rFonts w:eastAsia="Calibri"/>
                <w:lang w:val="en-US"/>
              </w:rPr>
            </w:pPr>
            <w:r>
              <w:rPr>
                <w:rFonts w:eastAsia="Calibri"/>
                <w:lang w:val="en-US"/>
              </w:rPr>
              <w:t xml:space="preserve">A short description of a positive feedback loop was inserted in the abstract of the AOP. See text 28.1. </w:t>
            </w:r>
          </w:p>
          <w:p w:rsidR="00D84262" w:rsidRDefault="00D84262" w:rsidP="003D283A">
            <w:pPr>
              <w:numPr>
                <w:ilvl w:val="0"/>
                <w:numId w:val="9"/>
              </w:numPr>
              <w:tabs>
                <w:tab w:val="clear" w:pos="850"/>
                <w:tab w:val="clear" w:pos="1191"/>
                <w:tab w:val="clear" w:pos="1531"/>
                <w:tab w:val="left" w:pos="1560"/>
              </w:tabs>
              <w:contextualSpacing/>
              <w:jc w:val="left"/>
              <w:rPr>
                <w:rFonts w:eastAsia="Calibri"/>
                <w:lang w:val="en-US"/>
              </w:rPr>
            </w:pPr>
            <w:r>
              <w:rPr>
                <w:rFonts w:eastAsia="Calibri"/>
                <w:lang w:val="en-US"/>
              </w:rPr>
              <w:t xml:space="preserve">Uncertainties regarding UROD inhibition in avian was added to the main AOP page. See text 3.1. </w:t>
            </w:r>
          </w:p>
          <w:p w:rsidR="00D84262" w:rsidRPr="00CD61EE" w:rsidRDefault="00D84262" w:rsidP="003D283A">
            <w:pPr>
              <w:numPr>
                <w:ilvl w:val="0"/>
                <w:numId w:val="9"/>
              </w:numPr>
              <w:tabs>
                <w:tab w:val="clear" w:pos="850"/>
                <w:tab w:val="clear" w:pos="1191"/>
                <w:tab w:val="clear" w:pos="1531"/>
                <w:tab w:val="left" w:pos="1560"/>
              </w:tabs>
              <w:contextualSpacing/>
              <w:jc w:val="left"/>
              <w:rPr>
                <w:rFonts w:eastAsia="Calibri"/>
                <w:lang w:val="en-US"/>
              </w:rPr>
            </w:pPr>
            <w:r>
              <w:rPr>
                <w:rFonts w:eastAsia="Calibri"/>
                <w:lang w:val="en-US"/>
              </w:rPr>
              <w:t xml:space="preserve">A description of the positive feedback loop was added to KER865. See text 28.1. </w:t>
            </w:r>
          </w:p>
        </w:tc>
      </w:tr>
    </w:tbl>
    <w:p w:rsidR="00D84262" w:rsidRDefault="00D84262" w:rsidP="00CD61EE">
      <w:pPr>
        <w:rPr>
          <w:b/>
          <w:szCs w:val="22"/>
        </w:rPr>
      </w:pPr>
    </w:p>
    <w:p w:rsidR="00D84262" w:rsidRDefault="00D84262" w:rsidP="00CD61EE">
      <w:pPr>
        <w:rPr>
          <w:b/>
          <w:szCs w:val="22"/>
        </w:rPr>
      </w:pPr>
    </w:p>
    <w:p w:rsidR="007A4AD2" w:rsidRDefault="007A4AD2" w:rsidP="007A4AD2">
      <w:pPr>
        <w:rPr>
          <w:b/>
        </w:rPr>
      </w:pPr>
      <w:r w:rsidRPr="007A4AD2">
        <w:rPr>
          <w:b/>
        </w:rPr>
        <w:t>Text 28.1 Positive feedback loop in the abstract</w:t>
      </w:r>
    </w:p>
    <w:p w:rsidR="007A4AD2" w:rsidRPr="007A4AD2" w:rsidRDefault="007A4AD2" w:rsidP="007A4AD2">
      <w:pPr>
        <w:rPr>
          <w:b/>
        </w:rPr>
      </w:pPr>
    </w:p>
    <w:p w:rsidR="007A4AD2" w:rsidRDefault="007A4AD2" w:rsidP="007A4AD2">
      <w:r>
        <w:t xml:space="preserve">Hepatic </w:t>
      </w:r>
      <w:proofErr w:type="spellStart"/>
      <w:r>
        <w:t>uroporphyria</w:t>
      </w:r>
      <w:proofErr w:type="spellEnd"/>
      <w:r>
        <w:t xml:space="preserve"> is a disorder where the disturbance of </w:t>
      </w:r>
      <w:proofErr w:type="spellStart"/>
      <w:r>
        <w:t>heme</w:t>
      </w:r>
      <w:proofErr w:type="spellEnd"/>
      <w:r>
        <w:t xml:space="preserve"> biosynthesis results in accumulation and excretion of uroporphyrin, </w:t>
      </w:r>
      <w:proofErr w:type="spellStart"/>
      <w:r>
        <w:t>heptacarboxyl</w:t>
      </w:r>
      <w:proofErr w:type="spellEnd"/>
      <w:r>
        <w:t xml:space="preserve">- and </w:t>
      </w:r>
      <w:proofErr w:type="spellStart"/>
      <w:r>
        <w:t>hexacarboxyl</w:t>
      </w:r>
      <w:proofErr w:type="spellEnd"/>
      <w:r>
        <w:t xml:space="preserve"> porphyrin: collectively referred to as highly </w:t>
      </w:r>
      <w:proofErr w:type="spellStart"/>
      <w:r>
        <w:t>carboxylated</w:t>
      </w:r>
      <w:proofErr w:type="spellEnd"/>
      <w:r>
        <w:t xml:space="preserve"> porphyrins (HCPs)</w:t>
      </w:r>
      <w:hyperlink w:anchor="cite_note-Fox1988-1" w:history="1">
        <w:r>
          <w:rPr>
            <w:rStyle w:val="Lienhypertexte"/>
            <w:vertAlign w:val="superscript"/>
          </w:rPr>
          <w:t>[1]</w:t>
        </w:r>
      </w:hyperlink>
      <w:hyperlink w:anchor="cite_note-Kennedy1990-2" w:history="1">
        <w:r>
          <w:rPr>
            <w:rStyle w:val="Lienhypertexte"/>
            <w:vertAlign w:val="superscript"/>
          </w:rPr>
          <w:t>[2]</w:t>
        </w:r>
      </w:hyperlink>
      <w:hyperlink w:anchor="cite_note-Kennedy1998-3" w:history="1">
        <w:r>
          <w:rPr>
            <w:rStyle w:val="Lienhypertexte"/>
            <w:vertAlign w:val="superscript"/>
          </w:rPr>
          <w:t>[3]</w:t>
        </w:r>
      </w:hyperlink>
      <w:r>
        <w:t xml:space="preserve">. </w:t>
      </w:r>
      <w:r w:rsidRPr="007A4AD2">
        <w:t xml:space="preserve">The disorder is due to a homozygous mutation in uroporphyrinogen decarboxylase (UROD), an enzyme involved in the </w:t>
      </w:r>
      <w:proofErr w:type="spellStart"/>
      <w:r w:rsidRPr="007A4AD2">
        <w:t>heme</w:t>
      </w:r>
      <w:proofErr w:type="spellEnd"/>
      <w:r w:rsidRPr="007A4AD2">
        <w:t xml:space="preserve"> biosynthesis pathway </w:t>
      </w:r>
      <w:hyperlink w:anchor="cite_note-Thunell2000-4" w:history="1">
        <w:r w:rsidRPr="007A4AD2">
          <w:rPr>
            <w:rStyle w:val="Lienhypertexte"/>
            <w:vertAlign w:val="superscript"/>
          </w:rPr>
          <w:t>[4]</w:t>
        </w:r>
      </w:hyperlink>
      <w:r w:rsidRPr="007A4AD2">
        <w:t>, or may be chemically induced, which involves the inhibition of UROD.</w:t>
      </w:r>
      <w:r>
        <w:t xml:space="preserve"> This adverse outcome pathway (AOP) describes the linkages leading to chemically induced porphyria through the activation of the aryl hydrocarbon receptor (AHR), a ligand-activated transcription factor.  AHR activation leads to the induction of cytochrome P450 1A2, a phase I metabolizing enzyme, which in turn results in excessive oxidation of uroporphyrinogen.  </w:t>
      </w:r>
      <w:r w:rsidRPr="007A4AD2">
        <w:rPr>
          <w:b/>
        </w:rPr>
        <w:t xml:space="preserve">This oxidation produces a UROD inhibitor, preventing the conversion of uroporphyrinogen to </w:t>
      </w:r>
      <w:proofErr w:type="spellStart"/>
      <w:r w:rsidRPr="007A4AD2">
        <w:rPr>
          <w:b/>
        </w:rPr>
        <w:t>coprouroporphyrinogen</w:t>
      </w:r>
      <w:proofErr w:type="spellEnd"/>
      <w:r w:rsidRPr="007A4AD2">
        <w:rPr>
          <w:b/>
        </w:rPr>
        <w:t xml:space="preserve"> </w:t>
      </w:r>
      <w:r w:rsidR="002B57AF">
        <w:rPr>
          <w:b/>
        </w:rPr>
        <w:t>and</w:t>
      </w:r>
      <w:r w:rsidRPr="007A4AD2">
        <w:rPr>
          <w:b/>
        </w:rPr>
        <w:t xml:space="preserve"> increasing the synthesis of the UROD inhibitor in a positive feedback loop.  </w:t>
      </w:r>
      <w:r>
        <w:t>The accumulation of uroporphyrinogen leads to its preferential oxidation and accumulation of HCP in various organs (</w:t>
      </w:r>
      <w:proofErr w:type="spellStart"/>
      <w:r>
        <w:t>Uroporphyria</w:t>
      </w:r>
      <w:proofErr w:type="spellEnd"/>
      <w:r>
        <w:t xml:space="preserve">).  This AOP was developed in accordance with OECD guidelines and demonstrates a high degree of confidence as a qualitative AOP. The quantitative understanding of this AOP however is not yet complete, preventing the accurate prediction of </w:t>
      </w:r>
      <w:proofErr w:type="spellStart"/>
      <w:r>
        <w:t>uroporphyria</w:t>
      </w:r>
      <w:proofErr w:type="spellEnd"/>
      <w:r>
        <w:t xml:space="preserve"> from lower level key events.</w:t>
      </w:r>
    </w:p>
    <w:p w:rsidR="007A4AD2" w:rsidRDefault="007A4AD2" w:rsidP="00D84262">
      <w:pPr>
        <w:jc w:val="left"/>
        <w:rPr>
          <w:rFonts w:eastAsia="Calibri"/>
          <w:b/>
        </w:rPr>
      </w:pPr>
    </w:p>
    <w:p w:rsidR="007A4AD2" w:rsidRDefault="007A4AD2" w:rsidP="00D84262">
      <w:pPr>
        <w:jc w:val="left"/>
        <w:rPr>
          <w:rFonts w:eastAsia="Calibri"/>
          <w:b/>
        </w:rPr>
      </w:pPr>
    </w:p>
    <w:p w:rsidR="00D84262" w:rsidRPr="00230D7B" w:rsidRDefault="00D84262" w:rsidP="00D84262">
      <w:pPr>
        <w:jc w:val="left"/>
        <w:rPr>
          <w:rFonts w:eastAsia="Calibri"/>
          <w:b/>
          <w:sz w:val="24"/>
          <w:lang w:val="en-US"/>
        </w:rPr>
      </w:pPr>
      <w:r w:rsidRPr="00230D7B">
        <w:rPr>
          <w:rFonts w:eastAsia="Calibri"/>
          <w:b/>
        </w:rPr>
        <w:t>Text 28.</w:t>
      </w:r>
      <w:r w:rsidR="002B57AF" w:rsidRPr="00230D7B">
        <w:rPr>
          <w:rFonts w:eastAsia="Calibri"/>
          <w:b/>
        </w:rPr>
        <w:t>2</w:t>
      </w:r>
      <w:r w:rsidRPr="00230D7B">
        <w:rPr>
          <w:rFonts w:eastAsia="Calibri"/>
          <w:b/>
        </w:rPr>
        <w:t xml:space="preserve"> Positive feedback loop under KER865</w:t>
      </w:r>
    </w:p>
    <w:p w:rsidR="00D84262" w:rsidRPr="00230D7B" w:rsidRDefault="00D84262" w:rsidP="00D84262">
      <w:pPr>
        <w:jc w:val="left"/>
        <w:rPr>
          <w:rFonts w:eastAsia="Times New Roman"/>
        </w:rPr>
      </w:pPr>
    </w:p>
    <w:p w:rsidR="00D84262" w:rsidRPr="00230D7B" w:rsidRDefault="00D84262" w:rsidP="00D84262">
      <w:r w:rsidRPr="00230D7B">
        <w:t xml:space="preserve">Induction of CYP1A2 increases its availability and consequently its ability to compete with UROD to oxidize uroporphyrinogen. At least one of these oxidation products is believed to be a competitive inhibitor of UROD. Therefore, UROD inhibition potentiates the oxidation of uroporphyrinogens by CYP1A2 to porphyrins leading to increased porphyrin accumulation and in turn UROD inhibition.  </w:t>
      </w:r>
    </w:p>
    <w:p w:rsidR="007A4AD2" w:rsidRPr="00230D7B" w:rsidRDefault="007A4AD2">
      <w:pPr>
        <w:tabs>
          <w:tab w:val="clear" w:pos="850"/>
          <w:tab w:val="clear" w:pos="1191"/>
          <w:tab w:val="clear" w:pos="1531"/>
        </w:tabs>
        <w:jc w:val="left"/>
        <w:rPr>
          <w:b/>
          <w:szCs w:val="22"/>
        </w:rPr>
      </w:pPr>
      <w:r w:rsidRPr="00230D7B">
        <w:rPr>
          <w:b/>
          <w:szCs w:val="22"/>
        </w:rPr>
        <w:br w:type="page"/>
      </w:r>
    </w:p>
    <w:p w:rsidR="00D84262" w:rsidRDefault="00D84262">
      <w:pPr>
        <w:tabs>
          <w:tab w:val="clear" w:pos="850"/>
          <w:tab w:val="clear" w:pos="1191"/>
          <w:tab w:val="clear" w:pos="1531"/>
        </w:tabs>
        <w:jc w:val="left"/>
        <w:rPr>
          <w:b/>
          <w:szCs w:val="22"/>
        </w:rPr>
      </w:pPr>
    </w:p>
    <w:tbl>
      <w:tblPr>
        <w:tblStyle w:val="Grilledutableau"/>
        <w:tblW w:w="0" w:type="auto"/>
        <w:tblLook w:val="04A0" w:firstRow="1" w:lastRow="0" w:firstColumn="1" w:lastColumn="0" w:noHBand="0" w:noVBand="1"/>
      </w:tblPr>
      <w:tblGrid>
        <w:gridCol w:w="1242"/>
        <w:gridCol w:w="8334"/>
      </w:tblGrid>
      <w:tr w:rsidR="00D84262" w:rsidTr="003D283A">
        <w:tc>
          <w:tcPr>
            <w:tcW w:w="1242" w:type="dxa"/>
          </w:tcPr>
          <w:p w:rsidR="00D84262" w:rsidRPr="00996DA2" w:rsidRDefault="00D84262" w:rsidP="00D84262">
            <w:pPr>
              <w:rPr>
                <w:b/>
                <w:noProof/>
              </w:rPr>
            </w:pPr>
            <w:r>
              <w:rPr>
                <w:b/>
                <w:noProof/>
              </w:rPr>
              <w:t>Comment Annexe #2</w:t>
            </w:r>
          </w:p>
        </w:tc>
        <w:tc>
          <w:tcPr>
            <w:tcW w:w="8334" w:type="dxa"/>
          </w:tcPr>
          <w:p w:rsidR="00D84262" w:rsidRPr="00D84262" w:rsidRDefault="00D84262" w:rsidP="00D84262">
            <w:pPr>
              <w:tabs>
                <w:tab w:val="clear" w:pos="850"/>
                <w:tab w:val="clear" w:pos="1191"/>
                <w:tab w:val="clear" w:pos="1531"/>
              </w:tabs>
              <w:contextualSpacing/>
              <w:jc w:val="left"/>
              <w:rPr>
                <w:rFonts w:eastAsia="Calibri"/>
                <w:lang w:val="en-US"/>
              </w:rPr>
            </w:pPr>
            <w:r w:rsidRPr="00D84262">
              <w:rPr>
                <w:rFonts w:eastAsia="Calibri"/>
                <w:lang w:val="en-US"/>
              </w:rPr>
              <w:t xml:space="preserve">28) TCDD did elicit </w:t>
            </w:r>
            <w:proofErr w:type="spellStart"/>
            <w:r w:rsidRPr="00D84262">
              <w:rPr>
                <w:rFonts w:eastAsia="Calibri"/>
                <w:lang w:val="en-US"/>
              </w:rPr>
              <w:t>AhR</w:t>
            </w:r>
            <w:proofErr w:type="spellEnd"/>
            <w:r w:rsidRPr="00D84262">
              <w:rPr>
                <w:rFonts w:eastAsia="Calibri"/>
                <w:lang w:val="en-US"/>
              </w:rPr>
              <w:t>-dependent, CYP1A1/A2-independent mitochondrial ROS production in mice suggesting that general oxidative stress induced independently of CYP1A2 induction may contribute to the resulting overall UROX by TCDD (</w:t>
            </w:r>
            <w:proofErr w:type="spellStart"/>
            <w:r w:rsidRPr="00D84262">
              <w:rPr>
                <w:rFonts w:eastAsia="Calibri"/>
                <w:lang w:val="en-US"/>
              </w:rPr>
              <w:t>Senft</w:t>
            </w:r>
            <w:proofErr w:type="spellEnd"/>
            <w:r w:rsidRPr="00D84262">
              <w:rPr>
                <w:rFonts w:eastAsia="Calibri"/>
                <w:lang w:val="en-US"/>
              </w:rPr>
              <w:t xml:space="preserve"> et al., 2002).  </w:t>
            </w:r>
          </w:p>
        </w:tc>
      </w:tr>
      <w:tr w:rsidR="00D84262" w:rsidTr="003D283A">
        <w:tc>
          <w:tcPr>
            <w:tcW w:w="1242" w:type="dxa"/>
          </w:tcPr>
          <w:p w:rsidR="00D84262" w:rsidRPr="00996DA2" w:rsidRDefault="00D84262" w:rsidP="00D84262">
            <w:pPr>
              <w:rPr>
                <w:b/>
                <w:noProof/>
              </w:rPr>
            </w:pPr>
            <w:r w:rsidRPr="00996DA2">
              <w:rPr>
                <w:b/>
                <w:noProof/>
              </w:rPr>
              <w:t>Intended changes</w:t>
            </w:r>
          </w:p>
        </w:tc>
        <w:tc>
          <w:tcPr>
            <w:tcW w:w="8334" w:type="dxa"/>
          </w:tcPr>
          <w:p w:rsidR="00D84262" w:rsidRPr="00D84262" w:rsidRDefault="00D84262" w:rsidP="00D84262">
            <w:pPr>
              <w:numPr>
                <w:ilvl w:val="0"/>
                <w:numId w:val="9"/>
              </w:numPr>
              <w:tabs>
                <w:tab w:val="clear" w:pos="850"/>
                <w:tab w:val="clear" w:pos="1191"/>
                <w:tab w:val="clear" w:pos="1531"/>
                <w:tab w:val="left" w:pos="1560"/>
              </w:tabs>
              <w:contextualSpacing/>
              <w:jc w:val="left"/>
              <w:rPr>
                <w:rFonts w:eastAsia="Calibri"/>
                <w:lang w:val="en-US"/>
              </w:rPr>
            </w:pPr>
            <w:r w:rsidRPr="00D84262">
              <w:rPr>
                <w:rFonts w:eastAsia="Calibri"/>
                <w:lang w:val="en-US"/>
              </w:rPr>
              <w:t>Add this possibility under uncertainties/inconsistencies section in KER868</w:t>
            </w:r>
          </w:p>
        </w:tc>
      </w:tr>
      <w:tr w:rsidR="00D84262" w:rsidTr="003D283A">
        <w:tc>
          <w:tcPr>
            <w:tcW w:w="1242" w:type="dxa"/>
          </w:tcPr>
          <w:p w:rsidR="00D84262" w:rsidRPr="00996DA2" w:rsidRDefault="00D84262" w:rsidP="00D84262">
            <w:pPr>
              <w:spacing w:line="360" w:lineRule="auto"/>
              <w:rPr>
                <w:b/>
                <w:noProof/>
              </w:rPr>
            </w:pPr>
            <w:r w:rsidRPr="00996DA2">
              <w:rPr>
                <w:b/>
                <w:noProof/>
              </w:rPr>
              <w:t>Changes</w:t>
            </w:r>
          </w:p>
        </w:tc>
        <w:tc>
          <w:tcPr>
            <w:tcW w:w="8334" w:type="dxa"/>
          </w:tcPr>
          <w:p w:rsidR="00D84262" w:rsidRPr="00CD61EE" w:rsidRDefault="00115A69" w:rsidP="00D84262">
            <w:pPr>
              <w:numPr>
                <w:ilvl w:val="0"/>
                <w:numId w:val="9"/>
              </w:numPr>
              <w:tabs>
                <w:tab w:val="clear" w:pos="850"/>
                <w:tab w:val="clear" w:pos="1191"/>
                <w:tab w:val="clear" w:pos="1531"/>
                <w:tab w:val="left" w:pos="1560"/>
              </w:tabs>
              <w:contextualSpacing/>
              <w:jc w:val="left"/>
              <w:rPr>
                <w:rFonts w:eastAsia="Calibri"/>
                <w:lang w:val="en-US"/>
              </w:rPr>
            </w:pPr>
            <w:r>
              <w:rPr>
                <w:rFonts w:eastAsia="Calibri"/>
                <w:lang w:val="en-US"/>
              </w:rPr>
              <w:t xml:space="preserve">The text was added to the uncertainties in KER865. See text 28.2. </w:t>
            </w:r>
            <w:r w:rsidR="00D84262">
              <w:rPr>
                <w:rFonts w:eastAsia="Calibri"/>
                <w:lang w:val="en-US"/>
              </w:rPr>
              <w:t xml:space="preserve"> </w:t>
            </w:r>
          </w:p>
        </w:tc>
      </w:tr>
    </w:tbl>
    <w:p w:rsidR="00D84262" w:rsidRDefault="00D84262" w:rsidP="00D84262">
      <w:pPr>
        <w:rPr>
          <w:b/>
          <w:szCs w:val="22"/>
        </w:rPr>
      </w:pPr>
    </w:p>
    <w:p w:rsidR="00D84262" w:rsidRPr="00D84262" w:rsidRDefault="00D84262" w:rsidP="00D84262">
      <w:pPr>
        <w:rPr>
          <w:b/>
          <w:szCs w:val="22"/>
        </w:rPr>
      </w:pPr>
    </w:p>
    <w:p w:rsidR="00D84262" w:rsidRDefault="00D84262" w:rsidP="00D84262">
      <w:pPr>
        <w:rPr>
          <w:b/>
          <w:szCs w:val="22"/>
          <w:shd w:val="clear" w:color="auto" w:fill="FFFFFF"/>
        </w:rPr>
      </w:pPr>
      <w:r w:rsidRPr="00D84262">
        <w:rPr>
          <w:b/>
          <w:szCs w:val="22"/>
          <w:shd w:val="clear" w:color="auto" w:fill="FFFFFF"/>
        </w:rPr>
        <w:t>Text 28.2</w:t>
      </w:r>
      <w:r>
        <w:rPr>
          <w:b/>
          <w:szCs w:val="22"/>
          <w:shd w:val="clear" w:color="auto" w:fill="FFFFFF"/>
        </w:rPr>
        <w:t xml:space="preserve"> Uncertainties in KER865</w:t>
      </w:r>
    </w:p>
    <w:p w:rsidR="00D84262" w:rsidRPr="00D84262" w:rsidRDefault="00D84262" w:rsidP="00D84262">
      <w:pPr>
        <w:rPr>
          <w:b/>
          <w:szCs w:val="22"/>
          <w:shd w:val="clear" w:color="auto" w:fill="FFFFFF"/>
        </w:rPr>
      </w:pPr>
    </w:p>
    <w:p w:rsidR="00D84262" w:rsidRDefault="00D84262" w:rsidP="00115A69">
      <w:pPr>
        <w:rPr>
          <w:szCs w:val="22"/>
          <w:shd w:val="clear" w:color="auto" w:fill="FFFFFF"/>
        </w:rPr>
      </w:pPr>
      <w:r w:rsidRPr="00D84262">
        <w:rPr>
          <w:szCs w:val="22"/>
          <w:shd w:val="clear" w:color="auto" w:fill="FFFFFF"/>
        </w:rPr>
        <w:t xml:space="preserve">In mice, TCDD can elicit </w:t>
      </w:r>
      <w:proofErr w:type="spellStart"/>
      <w:r w:rsidRPr="00D84262">
        <w:rPr>
          <w:szCs w:val="22"/>
          <w:shd w:val="clear" w:color="auto" w:fill="FFFFFF"/>
        </w:rPr>
        <w:t>AhR</w:t>
      </w:r>
      <w:proofErr w:type="spellEnd"/>
      <w:r w:rsidRPr="00D84262">
        <w:rPr>
          <w:szCs w:val="22"/>
          <w:shd w:val="clear" w:color="auto" w:fill="FFFFFF"/>
        </w:rPr>
        <w:t>-dependent, CYP1A1/A2-independent mitochondrial ROS production suggesting that general oxidative stress induced independently of CYP1A2 induction may contribute to the resulting overall UROX by TCDD </w:t>
      </w:r>
      <w:r w:rsidRPr="00D84262">
        <w:rPr>
          <w:szCs w:val="22"/>
          <w:shd w:val="clear" w:color="auto" w:fill="FFFFFF"/>
          <w:vertAlign w:val="superscript"/>
        </w:rPr>
        <w:t>[</w:t>
      </w:r>
      <w:hyperlink r:id="rId29" w:anchor="13-0" w:history="1">
        <w:r w:rsidRPr="00D84262">
          <w:rPr>
            <w:rStyle w:val="Lienhypertexte"/>
            <w:color w:val="auto"/>
            <w:szCs w:val="22"/>
            <w:vertAlign w:val="superscript"/>
          </w:rPr>
          <w:t>14]</w:t>
        </w:r>
      </w:hyperlink>
      <w:r w:rsidRPr="00D84262">
        <w:rPr>
          <w:szCs w:val="22"/>
          <w:shd w:val="clear" w:color="auto" w:fill="FFFFFF"/>
        </w:rPr>
        <w:t>.  </w:t>
      </w:r>
      <w:r w:rsidR="00115A69">
        <w:rPr>
          <w:szCs w:val="22"/>
          <w:shd w:val="clear" w:color="auto" w:fill="FFFFFF"/>
        </w:rPr>
        <w:t xml:space="preserve"> </w:t>
      </w:r>
    </w:p>
    <w:p w:rsidR="00115A69" w:rsidRPr="00D84262" w:rsidRDefault="00115A69" w:rsidP="00115A69">
      <w:pPr>
        <w:rPr>
          <w:b/>
          <w:szCs w:val="22"/>
        </w:rPr>
      </w:pPr>
    </w:p>
    <w:sectPr w:rsidR="00115A69" w:rsidRPr="00D842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4002"/>
    <w:multiLevelType w:val="hybridMultilevel"/>
    <w:tmpl w:val="76529016"/>
    <w:lvl w:ilvl="0" w:tplc="04090001">
      <w:start w:val="1"/>
      <w:numFmt w:val="bullet"/>
      <w:lvlText w:val=""/>
      <w:lvlJc w:val="left"/>
      <w:pPr>
        <w:ind w:left="227" w:hanging="227"/>
      </w:pPr>
      <w:rPr>
        <w:rFonts w:ascii="Symbol" w:hAnsi="Symbol" w:hint="default"/>
      </w:rPr>
    </w:lvl>
    <w:lvl w:ilvl="1" w:tplc="04090003">
      <w:start w:val="1"/>
      <w:numFmt w:val="bullet"/>
      <w:lvlText w:val="o"/>
      <w:lvlJc w:val="left"/>
      <w:pPr>
        <w:ind w:left="930" w:hanging="360"/>
      </w:pPr>
      <w:rPr>
        <w:rFonts w:ascii="Courier New" w:hAnsi="Courier New" w:cs="Courier New" w:hint="default"/>
      </w:rPr>
    </w:lvl>
    <w:lvl w:ilvl="2" w:tplc="04090005" w:tentative="1">
      <w:start w:val="1"/>
      <w:numFmt w:val="bullet"/>
      <w:lvlText w:val=""/>
      <w:lvlJc w:val="left"/>
      <w:pPr>
        <w:ind w:left="1650" w:hanging="360"/>
      </w:pPr>
      <w:rPr>
        <w:rFonts w:ascii="Wingdings" w:hAnsi="Wingdings" w:hint="default"/>
      </w:rPr>
    </w:lvl>
    <w:lvl w:ilvl="3" w:tplc="04090001" w:tentative="1">
      <w:start w:val="1"/>
      <w:numFmt w:val="bullet"/>
      <w:lvlText w:val=""/>
      <w:lvlJc w:val="left"/>
      <w:pPr>
        <w:ind w:left="2370" w:hanging="360"/>
      </w:pPr>
      <w:rPr>
        <w:rFonts w:ascii="Symbol" w:hAnsi="Symbol" w:hint="default"/>
      </w:rPr>
    </w:lvl>
    <w:lvl w:ilvl="4" w:tplc="04090003" w:tentative="1">
      <w:start w:val="1"/>
      <w:numFmt w:val="bullet"/>
      <w:lvlText w:val="o"/>
      <w:lvlJc w:val="left"/>
      <w:pPr>
        <w:ind w:left="3090" w:hanging="360"/>
      </w:pPr>
      <w:rPr>
        <w:rFonts w:ascii="Courier New" w:hAnsi="Courier New" w:cs="Courier New" w:hint="default"/>
      </w:rPr>
    </w:lvl>
    <w:lvl w:ilvl="5" w:tplc="04090005" w:tentative="1">
      <w:start w:val="1"/>
      <w:numFmt w:val="bullet"/>
      <w:lvlText w:val=""/>
      <w:lvlJc w:val="left"/>
      <w:pPr>
        <w:ind w:left="3810" w:hanging="360"/>
      </w:pPr>
      <w:rPr>
        <w:rFonts w:ascii="Wingdings" w:hAnsi="Wingdings" w:hint="default"/>
      </w:rPr>
    </w:lvl>
    <w:lvl w:ilvl="6" w:tplc="04090001" w:tentative="1">
      <w:start w:val="1"/>
      <w:numFmt w:val="bullet"/>
      <w:lvlText w:val=""/>
      <w:lvlJc w:val="left"/>
      <w:pPr>
        <w:ind w:left="4530" w:hanging="360"/>
      </w:pPr>
      <w:rPr>
        <w:rFonts w:ascii="Symbol" w:hAnsi="Symbol" w:hint="default"/>
      </w:rPr>
    </w:lvl>
    <w:lvl w:ilvl="7" w:tplc="04090003" w:tentative="1">
      <w:start w:val="1"/>
      <w:numFmt w:val="bullet"/>
      <w:lvlText w:val="o"/>
      <w:lvlJc w:val="left"/>
      <w:pPr>
        <w:ind w:left="5250" w:hanging="360"/>
      </w:pPr>
      <w:rPr>
        <w:rFonts w:ascii="Courier New" w:hAnsi="Courier New" w:cs="Courier New" w:hint="default"/>
      </w:rPr>
    </w:lvl>
    <w:lvl w:ilvl="8" w:tplc="04090005" w:tentative="1">
      <w:start w:val="1"/>
      <w:numFmt w:val="bullet"/>
      <w:lvlText w:val=""/>
      <w:lvlJc w:val="left"/>
      <w:pPr>
        <w:ind w:left="5970" w:hanging="360"/>
      </w:pPr>
      <w:rPr>
        <w:rFonts w:ascii="Wingdings" w:hAnsi="Wingdings" w:hint="default"/>
      </w:rPr>
    </w:lvl>
  </w:abstractNum>
  <w:abstractNum w:abstractNumId="1">
    <w:nsid w:val="04D50E3E"/>
    <w:multiLevelType w:val="hybridMultilevel"/>
    <w:tmpl w:val="4506860C"/>
    <w:lvl w:ilvl="0" w:tplc="04090001">
      <w:start w:val="1"/>
      <w:numFmt w:val="bullet"/>
      <w:lvlText w:val=""/>
      <w:lvlJc w:val="left"/>
      <w:pPr>
        <w:ind w:left="227" w:hanging="227"/>
      </w:pPr>
      <w:rPr>
        <w:rFonts w:ascii="Symbol" w:hAnsi="Symbol" w:hint="default"/>
      </w:rPr>
    </w:lvl>
    <w:lvl w:ilvl="1" w:tplc="04090003" w:tentative="1">
      <w:start w:val="1"/>
      <w:numFmt w:val="bullet"/>
      <w:lvlText w:val="o"/>
      <w:lvlJc w:val="left"/>
      <w:pPr>
        <w:ind w:left="930" w:hanging="360"/>
      </w:pPr>
      <w:rPr>
        <w:rFonts w:ascii="Courier New" w:hAnsi="Courier New" w:cs="Courier New" w:hint="default"/>
      </w:rPr>
    </w:lvl>
    <w:lvl w:ilvl="2" w:tplc="04090005" w:tentative="1">
      <w:start w:val="1"/>
      <w:numFmt w:val="bullet"/>
      <w:lvlText w:val=""/>
      <w:lvlJc w:val="left"/>
      <w:pPr>
        <w:ind w:left="1650" w:hanging="360"/>
      </w:pPr>
      <w:rPr>
        <w:rFonts w:ascii="Wingdings" w:hAnsi="Wingdings" w:hint="default"/>
      </w:rPr>
    </w:lvl>
    <w:lvl w:ilvl="3" w:tplc="04090001" w:tentative="1">
      <w:start w:val="1"/>
      <w:numFmt w:val="bullet"/>
      <w:lvlText w:val=""/>
      <w:lvlJc w:val="left"/>
      <w:pPr>
        <w:ind w:left="2370" w:hanging="360"/>
      </w:pPr>
      <w:rPr>
        <w:rFonts w:ascii="Symbol" w:hAnsi="Symbol" w:hint="default"/>
      </w:rPr>
    </w:lvl>
    <w:lvl w:ilvl="4" w:tplc="04090003" w:tentative="1">
      <w:start w:val="1"/>
      <w:numFmt w:val="bullet"/>
      <w:lvlText w:val="o"/>
      <w:lvlJc w:val="left"/>
      <w:pPr>
        <w:ind w:left="3090" w:hanging="360"/>
      </w:pPr>
      <w:rPr>
        <w:rFonts w:ascii="Courier New" w:hAnsi="Courier New" w:cs="Courier New" w:hint="default"/>
      </w:rPr>
    </w:lvl>
    <w:lvl w:ilvl="5" w:tplc="04090005" w:tentative="1">
      <w:start w:val="1"/>
      <w:numFmt w:val="bullet"/>
      <w:lvlText w:val=""/>
      <w:lvlJc w:val="left"/>
      <w:pPr>
        <w:ind w:left="3810" w:hanging="360"/>
      </w:pPr>
      <w:rPr>
        <w:rFonts w:ascii="Wingdings" w:hAnsi="Wingdings" w:hint="default"/>
      </w:rPr>
    </w:lvl>
    <w:lvl w:ilvl="6" w:tplc="04090001" w:tentative="1">
      <w:start w:val="1"/>
      <w:numFmt w:val="bullet"/>
      <w:lvlText w:val=""/>
      <w:lvlJc w:val="left"/>
      <w:pPr>
        <w:ind w:left="4530" w:hanging="360"/>
      </w:pPr>
      <w:rPr>
        <w:rFonts w:ascii="Symbol" w:hAnsi="Symbol" w:hint="default"/>
      </w:rPr>
    </w:lvl>
    <w:lvl w:ilvl="7" w:tplc="04090003" w:tentative="1">
      <w:start w:val="1"/>
      <w:numFmt w:val="bullet"/>
      <w:lvlText w:val="o"/>
      <w:lvlJc w:val="left"/>
      <w:pPr>
        <w:ind w:left="5250" w:hanging="360"/>
      </w:pPr>
      <w:rPr>
        <w:rFonts w:ascii="Courier New" w:hAnsi="Courier New" w:cs="Courier New" w:hint="default"/>
      </w:rPr>
    </w:lvl>
    <w:lvl w:ilvl="8" w:tplc="04090005" w:tentative="1">
      <w:start w:val="1"/>
      <w:numFmt w:val="bullet"/>
      <w:lvlText w:val=""/>
      <w:lvlJc w:val="left"/>
      <w:pPr>
        <w:ind w:left="5970" w:hanging="360"/>
      </w:pPr>
      <w:rPr>
        <w:rFonts w:ascii="Wingdings" w:hAnsi="Wingdings" w:hint="default"/>
      </w:rPr>
    </w:lvl>
  </w:abstractNum>
  <w:abstractNum w:abstractNumId="2">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3">
    <w:nsid w:val="46F454BE"/>
    <w:multiLevelType w:val="hybridMultilevel"/>
    <w:tmpl w:val="8174AC14"/>
    <w:lvl w:ilvl="0" w:tplc="BFEC4F42">
      <w:start w:val="1"/>
      <w:numFmt w:val="bullet"/>
      <w:lvlText w:val=""/>
      <w:lvlJc w:val="left"/>
      <w:pPr>
        <w:ind w:left="284" w:hanging="227"/>
      </w:pPr>
      <w:rPr>
        <w:rFonts w:ascii="Symbol" w:hAnsi="Symbol" w:hint="default"/>
        <w:color w:val="auto"/>
      </w:rPr>
    </w:lvl>
    <w:lvl w:ilvl="1" w:tplc="FEE06C12">
      <w:start w:val="1"/>
      <w:numFmt w:val="bullet"/>
      <w:lvlText w:val="o"/>
      <w:lvlJc w:val="left"/>
      <w:pPr>
        <w:ind w:left="737" w:hanging="227"/>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E318F0"/>
    <w:multiLevelType w:val="hybridMultilevel"/>
    <w:tmpl w:val="BE20463E"/>
    <w:lvl w:ilvl="0" w:tplc="477EFF94">
      <w:start w:val="1"/>
      <w:numFmt w:val="bullet"/>
      <w:lvlText w:val=""/>
      <w:lvlJc w:val="left"/>
      <w:pPr>
        <w:ind w:left="28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B62A0F"/>
    <w:multiLevelType w:val="hybridMultilevel"/>
    <w:tmpl w:val="AB5C8976"/>
    <w:lvl w:ilvl="0" w:tplc="477EFF94">
      <w:start w:val="1"/>
      <w:numFmt w:val="bullet"/>
      <w:lvlText w:val=""/>
      <w:lvlJc w:val="left"/>
      <w:pPr>
        <w:ind w:left="284" w:hanging="227"/>
      </w:pPr>
      <w:rPr>
        <w:rFonts w:ascii="Symbol" w:hAnsi="Symbol" w:hint="default"/>
      </w:rPr>
    </w:lvl>
    <w:lvl w:ilvl="1" w:tplc="A67C794A">
      <w:start w:val="1"/>
      <w:numFmt w:val="bullet"/>
      <w:lvlText w:val="o"/>
      <w:lvlJc w:val="left"/>
      <w:pPr>
        <w:ind w:left="737" w:hanging="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8E0CA3"/>
    <w:multiLevelType w:val="singleLevel"/>
    <w:tmpl w:val="BCFCA2DE"/>
    <w:name w:val="templateBullet5"/>
    <w:lvl w:ilvl="0">
      <w:start w:val="1"/>
      <w:numFmt w:val="bullet"/>
      <w:pStyle w:val="Listepuces5"/>
      <w:lvlText w:val="-"/>
      <w:lvlJc w:val="left"/>
      <w:pPr>
        <w:tabs>
          <w:tab w:val="num" w:pos="2041"/>
        </w:tabs>
        <w:ind w:left="2041" w:hanging="340"/>
      </w:pPr>
      <w:rPr>
        <w:rFonts w:ascii="Symbol" w:hAnsi="Symbol" w:cs="Times New Roman" w:hint="default"/>
        <w:b w:val="0"/>
        <w:i w:val="0"/>
        <w:sz w:val="22"/>
      </w:rPr>
    </w:lvl>
  </w:abstractNum>
  <w:abstractNum w:abstractNumId="7">
    <w:nsid w:val="6B421BCA"/>
    <w:multiLevelType w:val="hybridMultilevel"/>
    <w:tmpl w:val="FF9226CC"/>
    <w:lvl w:ilvl="0" w:tplc="139EFCD4">
      <w:start w:val="1"/>
      <w:numFmt w:val="decimal"/>
      <w:lvlText w:val="%1-"/>
      <w:lvlJc w:val="left"/>
      <w:pPr>
        <w:ind w:left="720" w:hanging="360"/>
      </w:pPr>
      <w:rPr>
        <w:rFonts w:hint="default"/>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6E852C73"/>
    <w:multiLevelType w:val="hybridMultilevel"/>
    <w:tmpl w:val="33383570"/>
    <w:lvl w:ilvl="0" w:tplc="477EFF94">
      <w:start w:val="1"/>
      <w:numFmt w:val="bullet"/>
      <w:lvlText w:val=""/>
      <w:lvlJc w:val="left"/>
      <w:pPr>
        <w:ind w:left="284" w:hanging="227"/>
      </w:pPr>
      <w:rPr>
        <w:rFonts w:ascii="Symbol" w:hAnsi="Symbol" w:hint="default"/>
      </w:rPr>
    </w:lvl>
    <w:lvl w:ilvl="1" w:tplc="3FC0F3AA">
      <w:start w:val="1"/>
      <w:numFmt w:val="bullet"/>
      <w:lvlText w:val="o"/>
      <w:lvlJc w:val="left"/>
      <w:pPr>
        <w:ind w:left="680" w:hanging="17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2E1837"/>
    <w:multiLevelType w:val="hybridMultilevel"/>
    <w:tmpl w:val="D520E2F2"/>
    <w:lvl w:ilvl="0" w:tplc="477EFF94">
      <w:start w:val="1"/>
      <w:numFmt w:val="bullet"/>
      <w:lvlText w:val=""/>
      <w:lvlJc w:val="left"/>
      <w:pPr>
        <w:ind w:left="284" w:hanging="227"/>
      </w:pPr>
      <w:rPr>
        <w:rFonts w:ascii="Symbol" w:hAnsi="Symbol" w:hint="default"/>
      </w:rPr>
    </w:lvl>
    <w:lvl w:ilvl="1" w:tplc="E45E9F96">
      <w:start w:val="1"/>
      <w:numFmt w:val="bullet"/>
      <w:lvlText w:val="o"/>
      <w:lvlJc w:val="left"/>
      <w:pPr>
        <w:ind w:left="737" w:hanging="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9"/>
  </w:num>
  <w:num w:numId="5">
    <w:abstractNumId w:val="7"/>
  </w:num>
  <w:num w:numId="6">
    <w:abstractNumId w:val="0"/>
  </w:num>
  <w:num w:numId="7">
    <w:abstractNumId w:val="1"/>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DA2"/>
    <w:rsid w:val="00040D93"/>
    <w:rsid w:val="000A4555"/>
    <w:rsid w:val="000C5822"/>
    <w:rsid w:val="000E72B6"/>
    <w:rsid w:val="000E7B73"/>
    <w:rsid w:val="00115A69"/>
    <w:rsid w:val="00192007"/>
    <w:rsid w:val="00230D7B"/>
    <w:rsid w:val="002B57AF"/>
    <w:rsid w:val="002B6554"/>
    <w:rsid w:val="003C54E3"/>
    <w:rsid w:val="003E4D95"/>
    <w:rsid w:val="00477E6F"/>
    <w:rsid w:val="005500E0"/>
    <w:rsid w:val="00566A6D"/>
    <w:rsid w:val="00667C8D"/>
    <w:rsid w:val="006834FB"/>
    <w:rsid w:val="006951C5"/>
    <w:rsid w:val="0078553B"/>
    <w:rsid w:val="007A4AD2"/>
    <w:rsid w:val="008873E8"/>
    <w:rsid w:val="008A126C"/>
    <w:rsid w:val="008E711A"/>
    <w:rsid w:val="0090152A"/>
    <w:rsid w:val="00926D82"/>
    <w:rsid w:val="0095413D"/>
    <w:rsid w:val="009841A8"/>
    <w:rsid w:val="00996DA2"/>
    <w:rsid w:val="00A16B19"/>
    <w:rsid w:val="00B00430"/>
    <w:rsid w:val="00BD7704"/>
    <w:rsid w:val="00C953BB"/>
    <w:rsid w:val="00CD61EE"/>
    <w:rsid w:val="00D65FFD"/>
    <w:rsid w:val="00D72390"/>
    <w:rsid w:val="00D7442C"/>
    <w:rsid w:val="00D84262"/>
    <w:rsid w:val="00DA2D74"/>
    <w:rsid w:val="00DA469C"/>
    <w:rsid w:val="00DD3F82"/>
    <w:rsid w:val="00E1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5"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rsid w:val="00996DA2"/>
    <w:pPr>
      <w:tabs>
        <w:tab w:val="left" w:pos="850"/>
        <w:tab w:val="left" w:pos="1191"/>
        <w:tab w:val="left" w:pos="1531"/>
      </w:tabs>
      <w:jc w:val="both"/>
    </w:pPr>
    <w:rPr>
      <w:rFonts w:ascii="Times New Roman" w:eastAsiaTheme="minorHAnsi" w:hAnsi="Times New Roman"/>
      <w:sz w:val="22"/>
      <w:lang w:val="en-GB"/>
    </w:rPr>
  </w:style>
  <w:style w:type="paragraph" w:styleId="Titre1">
    <w:name w:val="heading 1"/>
    <w:basedOn w:val="Normal"/>
    <w:next w:val="Normal"/>
    <w:link w:val="Titre1Car"/>
    <w:qFormat/>
    <w:rsid w:val="00B004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semiHidden/>
    <w:unhideWhenUsed/>
    <w:qFormat/>
    <w:rsid w:val="00B004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semiHidden/>
    <w:unhideWhenUsed/>
    <w:qFormat/>
    <w:rsid w:val="00B00430"/>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FTitleRunningHead">
    <w:name w:val="AF_Title_Running_Head"/>
    <w:basedOn w:val="Normal"/>
    <w:next w:val="Normal"/>
    <w:rsid w:val="00192007"/>
    <w:pPr>
      <w:spacing w:line="480" w:lineRule="auto"/>
    </w:pPr>
  </w:style>
  <w:style w:type="paragraph" w:customStyle="1" w:styleId="AIReceivedDate">
    <w:name w:val="AI_Received_Date"/>
    <w:basedOn w:val="Normal"/>
    <w:next w:val="Normal"/>
    <w:rsid w:val="00192007"/>
    <w:pPr>
      <w:spacing w:after="240" w:line="480" w:lineRule="auto"/>
    </w:pPr>
    <w:rPr>
      <w:b/>
    </w:rPr>
  </w:style>
  <w:style w:type="paragraph" w:customStyle="1" w:styleId="BATitle">
    <w:name w:val="BA_Title"/>
    <w:basedOn w:val="Normal"/>
    <w:next w:val="Normal"/>
    <w:rsid w:val="00192007"/>
    <w:pPr>
      <w:spacing w:before="720" w:after="360" w:line="480" w:lineRule="auto"/>
      <w:jc w:val="center"/>
    </w:pPr>
    <w:rPr>
      <w:sz w:val="44"/>
    </w:rPr>
  </w:style>
  <w:style w:type="paragraph" w:customStyle="1" w:styleId="BBAuthorName">
    <w:name w:val="BB_Author_Name"/>
    <w:basedOn w:val="Normal"/>
    <w:next w:val="Normal"/>
    <w:rsid w:val="00192007"/>
    <w:pPr>
      <w:spacing w:after="240" w:line="480" w:lineRule="auto"/>
      <w:jc w:val="center"/>
    </w:pPr>
    <w:rPr>
      <w:i/>
    </w:rPr>
  </w:style>
  <w:style w:type="paragraph" w:customStyle="1" w:styleId="BCAuthorAddress">
    <w:name w:val="BC_Author_Address"/>
    <w:basedOn w:val="Normal"/>
    <w:next w:val="Normal"/>
    <w:rsid w:val="00192007"/>
    <w:pPr>
      <w:spacing w:after="240" w:line="480" w:lineRule="auto"/>
      <w:jc w:val="center"/>
    </w:pPr>
  </w:style>
  <w:style w:type="paragraph" w:customStyle="1" w:styleId="BDAbstract">
    <w:name w:val="BD_Abstract"/>
    <w:basedOn w:val="Normal"/>
    <w:next w:val="Normal"/>
    <w:rsid w:val="00192007"/>
    <w:pPr>
      <w:spacing w:before="360" w:after="360" w:line="480" w:lineRule="auto"/>
    </w:pPr>
  </w:style>
  <w:style w:type="paragraph" w:customStyle="1" w:styleId="BEAuthorBiography">
    <w:name w:val="BE_Author_Biography"/>
    <w:basedOn w:val="Normal"/>
    <w:rsid w:val="00192007"/>
    <w:pPr>
      <w:spacing w:line="480" w:lineRule="auto"/>
    </w:pPr>
  </w:style>
  <w:style w:type="paragraph" w:customStyle="1" w:styleId="BGKeywords">
    <w:name w:val="BG_Keywords"/>
    <w:basedOn w:val="Normal"/>
    <w:rsid w:val="00192007"/>
    <w:pPr>
      <w:spacing w:line="480" w:lineRule="auto"/>
    </w:pPr>
  </w:style>
  <w:style w:type="paragraph" w:customStyle="1" w:styleId="BHBriefs">
    <w:name w:val="BH_Briefs"/>
    <w:basedOn w:val="Normal"/>
    <w:rsid w:val="00192007"/>
    <w:pPr>
      <w:spacing w:line="480" w:lineRule="auto"/>
    </w:pPr>
  </w:style>
  <w:style w:type="paragraph" w:customStyle="1" w:styleId="BIEmailAddress">
    <w:name w:val="BI_Email_Address"/>
    <w:basedOn w:val="Normal"/>
    <w:next w:val="AIReceivedDate"/>
    <w:rsid w:val="00192007"/>
    <w:pPr>
      <w:spacing w:line="480" w:lineRule="auto"/>
    </w:pPr>
  </w:style>
  <w:style w:type="paragraph" w:customStyle="1" w:styleId="Default">
    <w:name w:val="Default"/>
    <w:rsid w:val="00192007"/>
    <w:pPr>
      <w:autoSpaceDE w:val="0"/>
      <w:autoSpaceDN w:val="0"/>
      <w:adjustRightInd w:val="0"/>
    </w:pPr>
    <w:rPr>
      <w:rFonts w:ascii="Symbol" w:hAnsi="Symbol" w:cs="Symbol"/>
      <w:color w:val="000000"/>
      <w:sz w:val="24"/>
      <w:szCs w:val="24"/>
    </w:rPr>
  </w:style>
  <w:style w:type="paragraph" w:customStyle="1" w:styleId="FAAuthorInfoSubtitle">
    <w:name w:val="FA_Author_Info_Subtitle"/>
    <w:basedOn w:val="Normal"/>
    <w:link w:val="FAAuthorInfoSubtitleChar"/>
    <w:autoRedefine/>
    <w:rsid w:val="00192007"/>
    <w:pPr>
      <w:spacing w:before="120" w:after="60" w:line="480" w:lineRule="auto"/>
    </w:pPr>
    <w:rPr>
      <w:b/>
    </w:rPr>
  </w:style>
  <w:style w:type="character" w:customStyle="1" w:styleId="FAAuthorInfoSubtitleChar">
    <w:name w:val="FA_Author_Info_Subtitle Char"/>
    <w:link w:val="FAAuthorInfoSubtitle"/>
    <w:rsid w:val="00192007"/>
    <w:rPr>
      <w:rFonts w:ascii="Times" w:eastAsia="Times New Roman" w:hAnsi="Times" w:cs="Times New Roman"/>
      <w:b/>
      <w:sz w:val="24"/>
      <w:szCs w:val="20"/>
    </w:rPr>
  </w:style>
  <w:style w:type="paragraph" w:customStyle="1" w:styleId="FACorrespondingAuthorFootnote">
    <w:name w:val="FA_Corresponding_Author_Footnote"/>
    <w:basedOn w:val="Normal"/>
    <w:next w:val="Normal"/>
    <w:rsid w:val="00192007"/>
    <w:pPr>
      <w:spacing w:line="480" w:lineRule="auto"/>
    </w:pPr>
  </w:style>
  <w:style w:type="paragraph" w:customStyle="1" w:styleId="FCChartFootnote">
    <w:name w:val="FC_Chart_Footnote"/>
    <w:basedOn w:val="Normal"/>
    <w:next w:val="Normal"/>
    <w:rsid w:val="00192007"/>
    <w:pPr>
      <w:ind w:firstLine="187"/>
    </w:pPr>
  </w:style>
  <w:style w:type="paragraph" w:customStyle="1" w:styleId="FDSchemeFootnote">
    <w:name w:val="FD_Scheme_Footnote"/>
    <w:basedOn w:val="Normal"/>
    <w:next w:val="Normal"/>
    <w:rsid w:val="00192007"/>
    <w:pPr>
      <w:ind w:firstLine="187"/>
    </w:pPr>
  </w:style>
  <w:style w:type="paragraph" w:customStyle="1" w:styleId="FETableFootnote">
    <w:name w:val="FE_Table_Footnote"/>
    <w:basedOn w:val="Normal"/>
    <w:next w:val="Normal"/>
    <w:rsid w:val="00192007"/>
    <w:pPr>
      <w:ind w:firstLine="187"/>
    </w:pPr>
  </w:style>
  <w:style w:type="paragraph" w:customStyle="1" w:styleId="StyleFACorrespondingAuthorFootnote7pt">
    <w:name w:val="Style FA_Corresponding_Author_Footnote + 7 pt"/>
    <w:basedOn w:val="Normal"/>
    <w:next w:val="BGKeywords"/>
    <w:link w:val="StyleFACorrespondingAuthorFootnote7ptChar"/>
    <w:autoRedefine/>
    <w:rsid w:val="00192007"/>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192007"/>
    <w:rPr>
      <w:rFonts w:ascii="Arno Pro" w:eastAsia="Times New Roman" w:hAnsi="Arno Pro" w:cs="Times New Roman"/>
      <w:kern w:val="20"/>
      <w:sz w:val="18"/>
      <w:szCs w:val="20"/>
    </w:rPr>
  </w:style>
  <w:style w:type="paragraph" w:customStyle="1" w:styleId="TAMainText">
    <w:name w:val="TA_Main_Text"/>
    <w:basedOn w:val="Normal"/>
    <w:rsid w:val="00192007"/>
    <w:pPr>
      <w:spacing w:line="480" w:lineRule="auto"/>
      <w:ind w:firstLine="202"/>
    </w:pPr>
  </w:style>
  <w:style w:type="paragraph" w:customStyle="1" w:styleId="TCTableBody">
    <w:name w:val="TC_Table_Body"/>
    <w:basedOn w:val="Normal"/>
    <w:rsid w:val="00192007"/>
  </w:style>
  <w:style w:type="paragraph" w:customStyle="1" w:styleId="TDAcknowledgments">
    <w:name w:val="TD_Acknowledgments"/>
    <w:basedOn w:val="Normal"/>
    <w:next w:val="Normal"/>
    <w:rsid w:val="00192007"/>
    <w:pPr>
      <w:spacing w:before="200" w:line="480" w:lineRule="auto"/>
      <w:ind w:firstLine="202"/>
    </w:pPr>
  </w:style>
  <w:style w:type="paragraph" w:customStyle="1" w:styleId="TESupportingInformation">
    <w:name w:val="TE_Supporting_Information"/>
    <w:basedOn w:val="Normal"/>
    <w:next w:val="Normal"/>
    <w:rsid w:val="00192007"/>
    <w:pPr>
      <w:spacing w:line="480" w:lineRule="auto"/>
      <w:ind w:firstLine="187"/>
    </w:pPr>
  </w:style>
  <w:style w:type="paragraph" w:customStyle="1" w:styleId="TFReferencesSection">
    <w:name w:val="TF_References_Section"/>
    <w:basedOn w:val="Normal"/>
    <w:rsid w:val="00192007"/>
    <w:pPr>
      <w:spacing w:line="480" w:lineRule="auto"/>
      <w:ind w:firstLine="187"/>
    </w:pPr>
  </w:style>
  <w:style w:type="paragraph" w:customStyle="1" w:styleId="VAFigureCaption">
    <w:name w:val="VA_Figure_Caption"/>
    <w:basedOn w:val="Normal"/>
    <w:next w:val="Normal"/>
    <w:rsid w:val="00192007"/>
    <w:pPr>
      <w:spacing w:line="480" w:lineRule="auto"/>
    </w:pPr>
  </w:style>
  <w:style w:type="paragraph" w:customStyle="1" w:styleId="VBChartTitle">
    <w:name w:val="VB_Chart_Title"/>
    <w:basedOn w:val="Normal"/>
    <w:next w:val="Normal"/>
    <w:rsid w:val="00192007"/>
    <w:pPr>
      <w:spacing w:line="480" w:lineRule="auto"/>
    </w:pPr>
  </w:style>
  <w:style w:type="paragraph" w:customStyle="1" w:styleId="VCSchemeTitle">
    <w:name w:val="VC_Scheme_Title"/>
    <w:basedOn w:val="Normal"/>
    <w:next w:val="Normal"/>
    <w:rsid w:val="00192007"/>
    <w:pPr>
      <w:spacing w:line="480" w:lineRule="auto"/>
    </w:pPr>
  </w:style>
  <w:style w:type="paragraph" w:customStyle="1" w:styleId="VDTableTitle">
    <w:name w:val="VD_Table_Title"/>
    <w:basedOn w:val="Normal"/>
    <w:next w:val="Normal"/>
    <w:rsid w:val="00192007"/>
    <w:pPr>
      <w:spacing w:line="480" w:lineRule="auto"/>
    </w:pPr>
  </w:style>
  <w:style w:type="character" w:customStyle="1" w:styleId="Titre1Car">
    <w:name w:val="Titre 1 Car"/>
    <w:basedOn w:val="Policepardfaut"/>
    <w:link w:val="Titre1"/>
    <w:rsid w:val="00B0043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semiHidden/>
    <w:rsid w:val="00B00430"/>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semiHidden/>
    <w:rsid w:val="00B00430"/>
    <w:rPr>
      <w:rFonts w:asciiTheme="majorHAnsi" w:eastAsiaTheme="majorEastAsia" w:hAnsiTheme="majorHAnsi" w:cstheme="majorBidi"/>
      <w:b/>
      <w:bCs/>
      <w:color w:val="4F81BD" w:themeColor="accent1"/>
      <w:sz w:val="24"/>
    </w:rPr>
  </w:style>
  <w:style w:type="paragraph" w:styleId="Lgende">
    <w:name w:val="caption"/>
    <w:basedOn w:val="Normal"/>
    <w:semiHidden/>
    <w:unhideWhenUsed/>
    <w:qFormat/>
    <w:rsid w:val="00B00430"/>
    <w:pPr>
      <w:spacing w:after="200"/>
    </w:pPr>
    <w:rPr>
      <w:rFonts w:cs="Lucida Sans"/>
      <w:b/>
      <w:bCs/>
      <w:color w:val="4F81BD" w:themeColor="accent1"/>
      <w:sz w:val="18"/>
      <w:szCs w:val="18"/>
    </w:rPr>
  </w:style>
  <w:style w:type="character" w:styleId="Accentuation">
    <w:name w:val="Emphasis"/>
    <w:basedOn w:val="Policepardfaut"/>
    <w:uiPriority w:val="20"/>
    <w:qFormat/>
    <w:rsid w:val="00B00430"/>
    <w:rPr>
      <w:i/>
      <w:iCs/>
    </w:rPr>
  </w:style>
  <w:style w:type="paragraph" w:styleId="Paragraphedeliste">
    <w:name w:val="List Paragraph"/>
    <w:basedOn w:val="Normal"/>
    <w:uiPriority w:val="34"/>
    <w:qFormat/>
    <w:rsid w:val="00B00430"/>
    <w:pPr>
      <w:spacing w:after="200"/>
      <w:ind w:left="720"/>
      <w:contextualSpacing/>
    </w:pPr>
    <w:rPr>
      <w:rFonts w:cs="Lucida Sans"/>
    </w:rPr>
  </w:style>
  <w:style w:type="table" w:customStyle="1" w:styleId="TableGrid2">
    <w:name w:val="Table Grid2"/>
    <w:basedOn w:val="TableauNormal"/>
    <w:next w:val="Grilledutableau"/>
    <w:uiPriority w:val="39"/>
    <w:rsid w:val="00996DA2"/>
    <w:rPr>
      <w:rFonts w:ascii="Calibri" w:eastAsiaTheme="minorHAns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59"/>
    <w:rsid w:val="00996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996DA2"/>
    <w:rPr>
      <w:color w:val="0000FF"/>
      <w:u w:val="single"/>
    </w:rPr>
  </w:style>
  <w:style w:type="character" w:customStyle="1" w:styleId="mixed-citation">
    <w:name w:val="mixed-citation"/>
    <w:basedOn w:val="Policepardfaut"/>
    <w:rsid w:val="00996DA2"/>
  </w:style>
  <w:style w:type="character" w:customStyle="1" w:styleId="ref-title">
    <w:name w:val="ref-title"/>
    <w:basedOn w:val="Policepardfaut"/>
    <w:rsid w:val="00996DA2"/>
  </w:style>
  <w:style w:type="character" w:customStyle="1" w:styleId="ref-journal">
    <w:name w:val="ref-journal"/>
    <w:basedOn w:val="Policepardfaut"/>
    <w:rsid w:val="00996DA2"/>
  </w:style>
  <w:style w:type="character" w:customStyle="1" w:styleId="ref-vol">
    <w:name w:val="ref-vol"/>
    <w:basedOn w:val="Policepardfaut"/>
    <w:rsid w:val="00996DA2"/>
  </w:style>
  <w:style w:type="paragraph" w:styleId="Textedebulles">
    <w:name w:val="Balloon Text"/>
    <w:basedOn w:val="Normal"/>
    <w:link w:val="TextedebullesCar"/>
    <w:uiPriority w:val="99"/>
    <w:semiHidden/>
    <w:unhideWhenUsed/>
    <w:rsid w:val="00996DA2"/>
    <w:rPr>
      <w:rFonts w:ascii="Tahoma" w:hAnsi="Tahoma" w:cs="Tahoma"/>
      <w:sz w:val="16"/>
      <w:szCs w:val="16"/>
    </w:rPr>
  </w:style>
  <w:style w:type="character" w:customStyle="1" w:styleId="TextedebullesCar">
    <w:name w:val="Texte de bulles Car"/>
    <w:basedOn w:val="Policepardfaut"/>
    <w:link w:val="Textedebulles"/>
    <w:uiPriority w:val="99"/>
    <w:semiHidden/>
    <w:rsid w:val="00996DA2"/>
    <w:rPr>
      <w:rFonts w:ascii="Tahoma" w:eastAsiaTheme="minorHAnsi" w:hAnsi="Tahoma" w:cs="Tahoma"/>
      <w:sz w:val="16"/>
      <w:szCs w:val="16"/>
      <w:lang w:val="en-GB"/>
    </w:rPr>
  </w:style>
  <w:style w:type="character" w:styleId="lev">
    <w:name w:val="Strong"/>
    <w:basedOn w:val="Policepardfaut"/>
    <w:uiPriority w:val="22"/>
    <w:qFormat/>
    <w:rsid w:val="00996DA2"/>
    <w:rPr>
      <w:b/>
      <w:bCs/>
    </w:rPr>
  </w:style>
  <w:style w:type="paragraph" w:customStyle="1" w:styleId="CaptionSubtitle">
    <w:name w:val="Caption Subtitle"/>
    <w:basedOn w:val="Normal"/>
    <w:next w:val="Normal"/>
    <w:uiPriority w:val="7"/>
    <w:qFormat/>
    <w:rsid w:val="00996DA2"/>
    <w:pPr>
      <w:keepNext/>
      <w:tabs>
        <w:tab w:val="clear" w:pos="850"/>
        <w:tab w:val="clear" w:pos="1191"/>
        <w:tab w:val="clear" w:pos="1531"/>
      </w:tabs>
      <w:spacing w:after="120"/>
      <w:ind w:left="680" w:right="680"/>
      <w:jc w:val="center"/>
    </w:pPr>
    <w:rPr>
      <w:rFonts w:eastAsia="SimSun" w:cs="Arial"/>
      <w:sz w:val="18"/>
    </w:rPr>
  </w:style>
  <w:style w:type="numbering" w:customStyle="1" w:styleId="NumberedNote">
    <w:name w:val="Numbered Note"/>
    <w:basedOn w:val="Aucuneliste"/>
    <w:rsid w:val="00996DA2"/>
    <w:pPr>
      <w:numPr>
        <w:numId w:val="2"/>
      </w:numPr>
    </w:pPr>
  </w:style>
  <w:style w:type="paragraph" w:styleId="NormalWeb">
    <w:name w:val="Normal (Web)"/>
    <w:basedOn w:val="Normal"/>
    <w:uiPriority w:val="99"/>
    <w:unhideWhenUsed/>
    <w:rsid w:val="00996DA2"/>
    <w:pPr>
      <w:tabs>
        <w:tab w:val="clear" w:pos="850"/>
        <w:tab w:val="clear" w:pos="1191"/>
        <w:tab w:val="clear" w:pos="1531"/>
      </w:tabs>
      <w:spacing w:before="100" w:beforeAutospacing="1" w:after="100" w:afterAutospacing="1"/>
      <w:jc w:val="left"/>
    </w:pPr>
    <w:rPr>
      <w:rFonts w:eastAsia="Times New Roman"/>
      <w:sz w:val="24"/>
      <w:szCs w:val="24"/>
      <w:lang w:val="en-US"/>
    </w:rPr>
  </w:style>
  <w:style w:type="paragraph" w:styleId="Commentaire">
    <w:name w:val="annotation text"/>
    <w:basedOn w:val="Normal"/>
    <w:link w:val="CommentaireCar"/>
    <w:uiPriority w:val="99"/>
    <w:rsid w:val="0078553B"/>
    <w:pPr>
      <w:tabs>
        <w:tab w:val="clear" w:pos="850"/>
        <w:tab w:val="clear" w:pos="1191"/>
        <w:tab w:val="clear" w:pos="1531"/>
      </w:tabs>
    </w:pPr>
    <w:rPr>
      <w:rFonts w:eastAsia="SimSun"/>
    </w:rPr>
  </w:style>
  <w:style w:type="character" w:customStyle="1" w:styleId="CommentaireCar">
    <w:name w:val="Commentaire Car"/>
    <w:basedOn w:val="Policepardfaut"/>
    <w:link w:val="Commentaire"/>
    <w:uiPriority w:val="99"/>
    <w:rsid w:val="0078553B"/>
    <w:rPr>
      <w:rFonts w:ascii="Times New Roman" w:eastAsia="SimSun" w:hAnsi="Times New Roman"/>
      <w:sz w:val="22"/>
      <w:lang w:val="en-GB"/>
    </w:rPr>
  </w:style>
  <w:style w:type="paragraph" w:customStyle="1" w:styleId="Para">
    <w:name w:val="Para"/>
    <w:basedOn w:val="Normal"/>
    <w:uiPriority w:val="3"/>
    <w:qFormat/>
    <w:rsid w:val="0078553B"/>
    <w:pPr>
      <w:tabs>
        <w:tab w:val="clear" w:pos="850"/>
        <w:tab w:val="clear" w:pos="1191"/>
        <w:tab w:val="clear" w:pos="1531"/>
      </w:tabs>
      <w:spacing w:before="120" w:after="120"/>
      <w:ind w:left="680" w:right="680"/>
    </w:pPr>
    <w:rPr>
      <w:rFonts w:eastAsia="SimSun"/>
    </w:rPr>
  </w:style>
  <w:style w:type="character" w:styleId="Marquedecommentaire">
    <w:name w:val="annotation reference"/>
    <w:basedOn w:val="Policepardfaut"/>
    <w:uiPriority w:val="99"/>
    <w:semiHidden/>
    <w:unhideWhenUsed/>
    <w:rsid w:val="00040D93"/>
    <w:rPr>
      <w:sz w:val="16"/>
      <w:szCs w:val="16"/>
    </w:rPr>
  </w:style>
  <w:style w:type="paragraph" w:styleId="Listepuces5">
    <w:name w:val="List Bullet 5"/>
    <w:basedOn w:val="Normal"/>
    <w:semiHidden/>
    <w:rsid w:val="00E11924"/>
    <w:pPr>
      <w:numPr>
        <w:numId w:val="10"/>
      </w:numPr>
      <w:tabs>
        <w:tab w:val="clear" w:pos="850"/>
        <w:tab w:val="clear" w:pos="1191"/>
        <w:tab w:val="clear" w:pos="1531"/>
      </w:tabs>
    </w:pPr>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5"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rsid w:val="00996DA2"/>
    <w:pPr>
      <w:tabs>
        <w:tab w:val="left" w:pos="850"/>
        <w:tab w:val="left" w:pos="1191"/>
        <w:tab w:val="left" w:pos="1531"/>
      </w:tabs>
      <w:jc w:val="both"/>
    </w:pPr>
    <w:rPr>
      <w:rFonts w:ascii="Times New Roman" w:eastAsiaTheme="minorHAnsi" w:hAnsi="Times New Roman"/>
      <w:sz w:val="22"/>
      <w:lang w:val="en-GB"/>
    </w:rPr>
  </w:style>
  <w:style w:type="paragraph" w:styleId="Titre1">
    <w:name w:val="heading 1"/>
    <w:basedOn w:val="Normal"/>
    <w:next w:val="Normal"/>
    <w:link w:val="Titre1Car"/>
    <w:qFormat/>
    <w:rsid w:val="00B004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semiHidden/>
    <w:unhideWhenUsed/>
    <w:qFormat/>
    <w:rsid w:val="00B004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semiHidden/>
    <w:unhideWhenUsed/>
    <w:qFormat/>
    <w:rsid w:val="00B00430"/>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FTitleRunningHead">
    <w:name w:val="AF_Title_Running_Head"/>
    <w:basedOn w:val="Normal"/>
    <w:next w:val="Normal"/>
    <w:rsid w:val="00192007"/>
    <w:pPr>
      <w:spacing w:line="480" w:lineRule="auto"/>
    </w:pPr>
  </w:style>
  <w:style w:type="paragraph" w:customStyle="1" w:styleId="AIReceivedDate">
    <w:name w:val="AI_Received_Date"/>
    <w:basedOn w:val="Normal"/>
    <w:next w:val="Normal"/>
    <w:rsid w:val="00192007"/>
    <w:pPr>
      <w:spacing w:after="240" w:line="480" w:lineRule="auto"/>
    </w:pPr>
    <w:rPr>
      <w:b/>
    </w:rPr>
  </w:style>
  <w:style w:type="paragraph" w:customStyle="1" w:styleId="BATitle">
    <w:name w:val="BA_Title"/>
    <w:basedOn w:val="Normal"/>
    <w:next w:val="Normal"/>
    <w:rsid w:val="00192007"/>
    <w:pPr>
      <w:spacing w:before="720" w:after="360" w:line="480" w:lineRule="auto"/>
      <w:jc w:val="center"/>
    </w:pPr>
    <w:rPr>
      <w:sz w:val="44"/>
    </w:rPr>
  </w:style>
  <w:style w:type="paragraph" w:customStyle="1" w:styleId="BBAuthorName">
    <w:name w:val="BB_Author_Name"/>
    <w:basedOn w:val="Normal"/>
    <w:next w:val="Normal"/>
    <w:rsid w:val="00192007"/>
    <w:pPr>
      <w:spacing w:after="240" w:line="480" w:lineRule="auto"/>
      <w:jc w:val="center"/>
    </w:pPr>
    <w:rPr>
      <w:i/>
    </w:rPr>
  </w:style>
  <w:style w:type="paragraph" w:customStyle="1" w:styleId="BCAuthorAddress">
    <w:name w:val="BC_Author_Address"/>
    <w:basedOn w:val="Normal"/>
    <w:next w:val="Normal"/>
    <w:rsid w:val="00192007"/>
    <w:pPr>
      <w:spacing w:after="240" w:line="480" w:lineRule="auto"/>
      <w:jc w:val="center"/>
    </w:pPr>
  </w:style>
  <w:style w:type="paragraph" w:customStyle="1" w:styleId="BDAbstract">
    <w:name w:val="BD_Abstract"/>
    <w:basedOn w:val="Normal"/>
    <w:next w:val="Normal"/>
    <w:rsid w:val="00192007"/>
    <w:pPr>
      <w:spacing w:before="360" w:after="360" w:line="480" w:lineRule="auto"/>
    </w:pPr>
  </w:style>
  <w:style w:type="paragraph" w:customStyle="1" w:styleId="BEAuthorBiography">
    <w:name w:val="BE_Author_Biography"/>
    <w:basedOn w:val="Normal"/>
    <w:rsid w:val="00192007"/>
    <w:pPr>
      <w:spacing w:line="480" w:lineRule="auto"/>
    </w:pPr>
  </w:style>
  <w:style w:type="paragraph" w:customStyle="1" w:styleId="BGKeywords">
    <w:name w:val="BG_Keywords"/>
    <w:basedOn w:val="Normal"/>
    <w:rsid w:val="00192007"/>
    <w:pPr>
      <w:spacing w:line="480" w:lineRule="auto"/>
    </w:pPr>
  </w:style>
  <w:style w:type="paragraph" w:customStyle="1" w:styleId="BHBriefs">
    <w:name w:val="BH_Briefs"/>
    <w:basedOn w:val="Normal"/>
    <w:rsid w:val="00192007"/>
    <w:pPr>
      <w:spacing w:line="480" w:lineRule="auto"/>
    </w:pPr>
  </w:style>
  <w:style w:type="paragraph" w:customStyle="1" w:styleId="BIEmailAddress">
    <w:name w:val="BI_Email_Address"/>
    <w:basedOn w:val="Normal"/>
    <w:next w:val="AIReceivedDate"/>
    <w:rsid w:val="00192007"/>
    <w:pPr>
      <w:spacing w:line="480" w:lineRule="auto"/>
    </w:pPr>
  </w:style>
  <w:style w:type="paragraph" w:customStyle="1" w:styleId="Default">
    <w:name w:val="Default"/>
    <w:rsid w:val="00192007"/>
    <w:pPr>
      <w:autoSpaceDE w:val="0"/>
      <w:autoSpaceDN w:val="0"/>
      <w:adjustRightInd w:val="0"/>
    </w:pPr>
    <w:rPr>
      <w:rFonts w:ascii="Symbol" w:hAnsi="Symbol" w:cs="Symbol"/>
      <w:color w:val="000000"/>
      <w:sz w:val="24"/>
      <w:szCs w:val="24"/>
    </w:rPr>
  </w:style>
  <w:style w:type="paragraph" w:customStyle="1" w:styleId="FAAuthorInfoSubtitle">
    <w:name w:val="FA_Author_Info_Subtitle"/>
    <w:basedOn w:val="Normal"/>
    <w:link w:val="FAAuthorInfoSubtitleChar"/>
    <w:autoRedefine/>
    <w:rsid w:val="00192007"/>
    <w:pPr>
      <w:spacing w:before="120" w:after="60" w:line="480" w:lineRule="auto"/>
    </w:pPr>
    <w:rPr>
      <w:b/>
    </w:rPr>
  </w:style>
  <w:style w:type="character" w:customStyle="1" w:styleId="FAAuthorInfoSubtitleChar">
    <w:name w:val="FA_Author_Info_Subtitle Char"/>
    <w:link w:val="FAAuthorInfoSubtitle"/>
    <w:rsid w:val="00192007"/>
    <w:rPr>
      <w:rFonts w:ascii="Times" w:eastAsia="Times New Roman" w:hAnsi="Times" w:cs="Times New Roman"/>
      <w:b/>
      <w:sz w:val="24"/>
      <w:szCs w:val="20"/>
    </w:rPr>
  </w:style>
  <w:style w:type="paragraph" w:customStyle="1" w:styleId="FACorrespondingAuthorFootnote">
    <w:name w:val="FA_Corresponding_Author_Footnote"/>
    <w:basedOn w:val="Normal"/>
    <w:next w:val="Normal"/>
    <w:rsid w:val="00192007"/>
    <w:pPr>
      <w:spacing w:line="480" w:lineRule="auto"/>
    </w:pPr>
  </w:style>
  <w:style w:type="paragraph" w:customStyle="1" w:styleId="FCChartFootnote">
    <w:name w:val="FC_Chart_Footnote"/>
    <w:basedOn w:val="Normal"/>
    <w:next w:val="Normal"/>
    <w:rsid w:val="00192007"/>
    <w:pPr>
      <w:ind w:firstLine="187"/>
    </w:pPr>
  </w:style>
  <w:style w:type="paragraph" w:customStyle="1" w:styleId="FDSchemeFootnote">
    <w:name w:val="FD_Scheme_Footnote"/>
    <w:basedOn w:val="Normal"/>
    <w:next w:val="Normal"/>
    <w:rsid w:val="00192007"/>
    <w:pPr>
      <w:ind w:firstLine="187"/>
    </w:pPr>
  </w:style>
  <w:style w:type="paragraph" w:customStyle="1" w:styleId="FETableFootnote">
    <w:name w:val="FE_Table_Footnote"/>
    <w:basedOn w:val="Normal"/>
    <w:next w:val="Normal"/>
    <w:rsid w:val="00192007"/>
    <w:pPr>
      <w:ind w:firstLine="187"/>
    </w:pPr>
  </w:style>
  <w:style w:type="paragraph" w:customStyle="1" w:styleId="StyleFACorrespondingAuthorFootnote7pt">
    <w:name w:val="Style FA_Corresponding_Author_Footnote + 7 pt"/>
    <w:basedOn w:val="Normal"/>
    <w:next w:val="BGKeywords"/>
    <w:link w:val="StyleFACorrespondingAuthorFootnote7ptChar"/>
    <w:autoRedefine/>
    <w:rsid w:val="00192007"/>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192007"/>
    <w:rPr>
      <w:rFonts w:ascii="Arno Pro" w:eastAsia="Times New Roman" w:hAnsi="Arno Pro" w:cs="Times New Roman"/>
      <w:kern w:val="20"/>
      <w:sz w:val="18"/>
      <w:szCs w:val="20"/>
    </w:rPr>
  </w:style>
  <w:style w:type="paragraph" w:customStyle="1" w:styleId="TAMainText">
    <w:name w:val="TA_Main_Text"/>
    <w:basedOn w:val="Normal"/>
    <w:rsid w:val="00192007"/>
    <w:pPr>
      <w:spacing w:line="480" w:lineRule="auto"/>
      <w:ind w:firstLine="202"/>
    </w:pPr>
  </w:style>
  <w:style w:type="paragraph" w:customStyle="1" w:styleId="TCTableBody">
    <w:name w:val="TC_Table_Body"/>
    <w:basedOn w:val="Normal"/>
    <w:rsid w:val="00192007"/>
  </w:style>
  <w:style w:type="paragraph" w:customStyle="1" w:styleId="TDAcknowledgments">
    <w:name w:val="TD_Acknowledgments"/>
    <w:basedOn w:val="Normal"/>
    <w:next w:val="Normal"/>
    <w:rsid w:val="00192007"/>
    <w:pPr>
      <w:spacing w:before="200" w:line="480" w:lineRule="auto"/>
      <w:ind w:firstLine="202"/>
    </w:pPr>
  </w:style>
  <w:style w:type="paragraph" w:customStyle="1" w:styleId="TESupportingInformation">
    <w:name w:val="TE_Supporting_Information"/>
    <w:basedOn w:val="Normal"/>
    <w:next w:val="Normal"/>
    <w:rsid w:val="00192007"/>
    <w:pPr>
      <w:spacing w:line="480" w:lineRule="auto"/>
      <w:ind w:firstLine="187"/>
    </w:pPr>
  </w:style>
  <w:style w:type="paragraph" w:customStyle="1" w:styleId="TFReferencesSection">
    <w:name w:val="TF_References_Section"/>
    <w:basedOn w:val="Normal"/>
    <w:rsid w:val="00192007"/>
    <w:pPr>
      <w:spacing w:line="480" w:lineRule="auto"/>
      <w:ind w:firstLine="187"/>
    </w:pPr>
  </w:style>
  <w:style w:type="paragraph" w:customStyle="1" w:styleId="VAFigureCaption">
    <w:name w:val="VA_Figure_Caption"/>
    <w:basedOn w:val="Normal"/>
    <w:next w:val="Normal"/>
    <w:rsid w:val="00192007"/>
    <w:pPr>
      <w:spacing w:line="480" w:lineRule="auto"/>
    </w:pPr>
  </w:style>
  <w:style w:type="paragraph" w:customStyle="1" w:styleId="VBChartTitle">
    <w:name w:val="VB_Chart_Title"/>
    <w:basedOn w:val="Normal"/>
    <w:next w:val="Normal"/>
    <w:rsid w:val="00192007"/>
    <w:pPr>
      <w:spacing w:line="480" w:lineRule="auto"/>
    </w:pPr>
  </w:style>
  <w:style w:type="paragraph" w:customStyle="1" w:styleId="VCSchemeTitle">
    <w:name w:val="VC_Scheme_Title"/>
    <w:basedOn w:val="Normal"/>
    <w:next w:val="Normal"/>
    <w:rsid w:val="00192007"/>
    <w:pPr>
      <w:spacing w:line="480" w:lineRule="auto"/>
    </w:pPr>
  </w:style>
  <w:style w:type="paragraph" w:customStyle="1" w:styleId="VDTableTitle">
    <w:name w:val="VD_Table_Title"/>
    <w:basedOn w:val="Normal"/>
    <w:next w:val="Normal"/>
    <w:rsid w:val="00192007"/>
    <w:pPr>
      <w:spacing w:line="480" w:lineRule="auto"/>
    </w:pPr>
  </w:style>
  <w:style w:type="character" w:customStyle="1" w:styleId="Titre1Car">
    <w:name w:val="Titre 1 Car"/>
    <w:basedOn w:val="Policepardfaut"/>
    <w:link w:val="Titre1"/>
    <w:rsid w:val="00B0043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semiHidden/>
    <w:rsid w:val="00B00430"/>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semiHidden/>
    <w:rsid w:val="00B00430"/>
    <w:rPr>
      <w:rFonts w:asciiTheme="majorHAnsi" w:eastAsiaTheme="majorEastAsia" w:hAnsiTheme="majorHAnsi" w:cstheme="majorBidi"/>
      <w:b/>
      <w:bCs/>
      <w:color w:val="4F81BD" w:themeColor="accent1"/>
      <w:sz w:val="24"/>
    </w:rPr>
  </w:style>
  <w:style w:type="paragraph" w:styleId="Lgende">
    <w:name w:val="caption"/>
    <w:basedOn w:val="Normal"/>
    <w:semiHidden/>
    <w:unhideWhenUsed/>
    <w:qFormat/>
    <w:rsid w:val="00B00430"/>
    <w:pPr>
      <w:spacing w:after="200"/>
    </w:pPr>
    <w:rPr>
      <w:rFonts w:cs="Lucida Sans"/>
      <w:b/>
      <w:bCs/>
      <w:color w:val="4F81BD" w:themeColor="accent1"/>
      <w:sz w:val="18"/>
      <w:szCs w:val="18"/>
    </w:rPr>
  </w:style>
  <w:style w:type="character" w:styleId="Accentuation">
    <w:name w:val="Emphasis"/>
    <w:basedOn w:val="Policepardfaut"/>
    <w:uiPriority w:val="20"/>
    <w:qFormat/>
    <w:rsid w:val="00B00430"/>
    <w:rPr>
      <w:i/>
      <w:iCs/>
    </w:rPr>
  </w:style>
  <w:style w:type="paragraph" w:styleId="Paragraphedeliste">
    <w:name w:val="List Paragraph"/>
    <w:basedOn w:val="Normal"/>
    <w:uiPriority w:val="34"/>
    <w:qFormat/>
    <w:rsid w:val="00B00430"/>
    <w:pPr>
      <w:spacing w:after="200"/>
      <w:ind w:left="720"/>
      <w:contextualSpacing/>
    </w:pPr>
    <w:rPr>
      <w:rFonts w:cs="Lucida Sans"/>
    </w:rPr>
  </w:style>
  <w:style w:type="table" w:customStyle="1" w:styleId="TableGrid2">
    <w:name w:val="Table Grid2"/>
    <w:basedOn w:val="TableauNormal"/>
    <w:next w:val="Grilledutableau"/>
    <w:uiPriority w:val="39"/>
    <w:rsid w:val="00996DA2"/>
    <w:rPr>
      <w:rFonts w:ascii="Calibri" w:eastAsiaTheme="minorHAns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59"/>
    <w:rsid w:val="00996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996DA2"/>
    <w:rPr>
      <w:color w:val="0000FF"/>
      <w:u w:val="single"/>
    </w:rPr>
  </w:style>
  <w:style w:type="character" w:customStyle="1" w:styleId="mixed-citation">
    <w:name w:val="mixed-citation"/>
    <w:basedOn w:val="Policepardfaut"/>
    <w:rsid w:val="00996DA2"/>
  </w:style>
  <w:style w:type="character" w:customStyle="1" w:styleId="ref-title">
    <w:name w:val="ref-title"/>
    <w:basedOn w:val="Policepardfaut"/>
    <w:rsid w:val="00996DA2"/>
  </w:style>
  <w:style w:type="character" w:customStyle="1" w:styleId="ref-journal">
    <w:name w:val="ref-journal"/>
    <w:basedOn w:val="Policepardfaut"/>
    <w:rsid w:val="00996DA2"/>
  </w:style>
  <w:style w:type="character" w:customStyle="1" w:styleId="ref-vol">
    <w:name w:val="ref-vol"/>
    <w:basedOn w:val="Policepardfaut"/>
    <w:rsid w:val="00996DA2"/>
  </w:style>
  <w:style w:type="paragraph" w:styleId="Textedebulles">
    <w:name w:val="Balloon Text"/>
    <w:basedOn w:val="Normal"/>
    <w:link w:val="TextedebullesCar"/>
    <w:uiPriority w:val="99"/>
    <w:semiHidden/>
    <w:unhideWhenUsed/>
    <w:rsid w:val="00996DA2"/>
    <w:rPr>
      <w:rFonts w:ascii="Tahoma" w:hAnsi="Tahoma" w:cs="Tahoma"/>
      <w:sz w:val="16"/>
      <w:szCs w:val="16"/>
    </w:rPr>
  </w:style>
  <w:style w:type="character" w:customStyle="1" w:styleId="TextedebullesCar">
    <w:name w:val="Texte de bulles Car"/>
    <w:basedOn w:val="Policepardfaut"/>
    <w:link w:val="Textedebulles"/>
    <w:uiPriority w:val="99"/>
    <w:semiHidden/>
    <w:rsid w:val="00996DA2"/>
    <w:rPr>
      <w:rFonts w:ascii="Tahoma" w:eastAsiaTheme="minorHAnsi" w:hAnsi="Tahoma" w:cs="Tahoma"/>
      <w:sz w:val="16"/>
      <w:szCs w:val="16"/>
      <w:lang w:val="en-GB"/>
    </w:rPr>
  </w:style>
  <w:style w:type="character" w:styleId="lev">
    <w:name w:val="Strong"/>
    <w:basedOn w:val="Policepardfaut"/>
    <w:uiPriority w:val="22"/>
    <w:qFormat/>
    <w:rsid w:val="00996DA2"/>
    <w:rPr>
      <w:b/>
      <w:bCs/>
    </w:rPr>
  </w:style>
  <w:style w:type="paragraph" w:customStyle="1" w:styleId="CaptionSubtitle">
    <w:name w:val="Caption Subtitle"/>
    <w:basedOn w:val="Normal"/>
    <w:next w:val="Normal"/>
    <w:uiPriority w:val="7"/>
    <w:qFormat/>
    <w:rsid w:val="00996DA2"/>
    <w:pPr>
      <w:keepNext/>
      <w:tabs>
        <w:tab w:val="clear" w:pos="850"/>
        <w:tab w:val="clear" w:pos="1191"/>
        <w:tab w:val="clear" w:pos="1531"/>
      </w:tabs>
      <w:spacing w:after="120"/>
      <w:ind w:left="680" w:right="680"/>
      <w:jc w:val="center"/>
    </w:pPr>
    <w:rPr>
      <w:rFonts w:eastAsia="SimSun" w:cs="Arial"/>
      <w:sz w:val="18"/>
    </w:rPr>
  </w:style>
  <w:style w:type="numbering" w:customStyle="1" w:styleId="NumberedNote">
    <w:name w:val="Numbered Note"/>
    <w:basedOn w:val="Aucuneliste"/>
    <w:rsid w:val="00996DA2"/>
    <w:pPr>
      <w:numPr>
        <w:numId w:val="2"/>
      </w:numPr>
    </w:pPr>
  </w:style>
  <w:style w:type="paragraph" w:styleId="NormalWeb">
    <w:name w:val="Normal (Web)"/>
    <w:basedOn w:val="Normal"/>
    <w:uiPriority w:val="99"/>
    <w:unhideWhenUsed/>
    <w:rsid w:val="00996DA2"/>
    <w:pPr>
      <w:tabs>
        <w:tab w:val="clear" w:pos="850"/>
        <w:tab w:val="clear" w:pos="1191"/>
        <w:tab w:val="clear" w:pos="1531"/>
      </w:tabs>
      <w:spacing w:before="100" w:beforeAutospacing="1" w:after="100" w:afterAutospacing="1"/>
      <w:jc w:val="left"/>
    </w:pPr>
    <w:rPr>
      <w:rFonts w:eastAsia="Times New Roman"/>
      <w:sz w:val="24"/>
      <w:szCs w:val="24"/>
      <w:lang w:val="en-US"/>
    </w:rPr>
  </w:style>
  <w:style w:type="paragraph" w:styleId="Commentaire">
    <w:name w:val="annotation text"/>
    <w:basedOn w:val="Normal"/>
    <w:link w:val="CommentaireCar"/>
    <w:uiPriority w:val="99"/>
    <w:rsid w:val="0078553B"/>
    <w:pPr>
      <w:tabs>
        <w:tab w:val="clear" w:pos="850"/>
        <w:tab w:val="clear" w:pos="1191"/>
        <w:tab w:val="clear" w:pos="1531"/>
      </w:tabs>
    </w:pPr>
    <w:rPr>
      <w:rFonts w:eastAsia="SimSun"/>
    </w:rPr>
  </w:style>
  <w:style w:type="character" w:customStyle="1" w:styleId="CommentaireCar">
    <w:name w:val="Commentaire Car"/>
    <w:basedOn w:val="Policepardfaut"/>
    <w:link w:val="Commentaire"/>
    <w:uiPriority w:val="99"/>
    <w:rsid w:val="0078553B"/>
    <w:rPr>
      <w:rFonts w:ascii="Times New Roman" w:eastAsia="SimSun" w:hAnsi="Times New Roman"/>
      <w:sz w:val="22"/>
      <w:lang w:val="en-GB"/>
    </w:rPr>
  </w:style>
  <w:style w:type="paragraph" w:customStyle="1" w:styleId="Para">
    <w:name w:val="Para"/>
    <w:basedOn w:val="Normal"/>
    <w:uiPriority w:val="3"/>
    <w:qFormat/>
    <w:rsid w:val="0078553B"/>
    <w:pPr>
      <w:tabs>
        <w:tab w:val="clear" w:pos="850"/>
        <w:tab w:val="clear" w:pos="1191"/>
        <w:tab w:val="clear" w:pos="1531"/>
      </w:tabs>
      <w:spacing w:before="120" w:after="120"/>
      <w:ind w:left="680" w:right="680"/>
    </w:pPr>
    <w:rPr>
      <w:rFonts w:eastAsia="SimSun"/>
    </w:rPr>
  </w:style>
  <w:style w:type="character" w:styleId="Marquedecommentaire">
    <w:name w:val="annotation reference"/>
    <w:basedOn w:val="Policepardfaut"/>
    <w:uiPriority w:val="99"/>
    <w:semiHidden/>
    <w:unhideWhenUsed/>
    <w:rsid w:val="00040D93"/>
    <w:rPr>
      <w:sz w:val="16"/>
      <w:szCs w:val="16"/>
    </w:rPr>
  </w:style>
  <w:style w:type="paragraph" w:styleId="Listepuces5">
    <w:name w:val="List Bullet 5"/>
    <w:basedOn w:val="Normal"/>
    <w:semiHidden/>
    <w:rsid w:val="00E11924"/>
    <w:pPr>
      <w:numPr>
        <w:numId w:val="10"/>
      </w:numPr>
      <w:tabs>
        <w:tab w:val="clear" w:pos="850"/>
        <w:tab w:val="clear" w:pos="1191"/>
        <w:tab w:val="clear" w:pos="1531"/>
      </w:tabs>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2775">
      <w:bodyDiv w:val="1"/>
      <w:marLeft w:val="0"/>
      <w:marRight w:val="0"/>
      <w:marTop w:val="0"/>
      <w:marBottom w:val="0"/>
      <w:divBdr>
        <w:top w:val="none" w:sz="0" w:space="0" w:color="auto"/>
        <w:left w:val="none" w:sz="0" w:space="0" w:color="auto"/>
        <w:bottom w:val="none" w:sz="0" w:space="0" w:color="auto"/>
        <w:right w:val="none" w:sz="0" w:space="0" w:color="auto"/>
      </w:divBdr>
    </w:div>
    <w:div w:id="533612588">
      <w:bodyDiv w:val="1"/>
      <w:marLeft w:val="0"/>
      <w:marRight w:val="0"/>
      <w:marTop w:val="0"/>
      <w:marBottom w:val="0"/>
      <w:divBdr>
        <w:top w:val="none" w:sz="0" w:space="0" w:color="auto"/>
        <w:left w:val="none" w:sz="0" w:space="0" w:color="auto"/>
        <w:bottom w:val="none" w:sz="0" w:space="0" w:color="auto"/>
        <w:right w:val="none" w:sz="0" w:space="0" w:color="auto"/>
      </w:divBdr>
    </w:div>
    <w:div w:id="606082018">
      <w:bodyDiv w:val="1"/>
      <w:marLeft w:val="0"/>
      <w:marRight w:val="0"/>
      <w:marTop w:val="0"/>
      <w:marBottom w:val="0"/>
      <w:divBdr>
        <w:top w:val="none" w:sz="0" w:space="0" w:color="auto"/>
        <w:left w:val="none" w:sz="0" w:space="0" w:color="auto"/>
        <w:bottom w:val="none" w:sz="0" w:space="0" w:color="auto"/>
        <w:right w:val="none" w:sz="0" w:space="0" w:color="auto"/>
      </w:divBdr>
    </w:div>
    <w:div w:id="642008571">
      <w:bodyDiv w:val="1"/>
      <w:marLeft w:val="0"/>
      <w:marRight w:val="0"/>
      <w:marTop w:val="0"/>
      <w:marBottom w:val="0"/>
      <w:divBdr>
        <w:top w:val="none" w:sz="0" w:space="0" w:color="auto"/>
        <w:left w:val="none" w:sz="0" w:space="0" w:color="auto"/>
        <w:bottom w:val="none" w:sz="0" w:space="0" w:color="auto"/>
        <w:right w:val="none" w:sz="0" w:space="0" w:color="auto"/>
      </w:divBdr>
    </w:div>
    <w:div w:id="759260145">
      <w:bodyDiv w:val="1"/>
      <w:marLeft w:val="0"/>
      <w:marRight w:val="0"/>
      <w:marTop w:val="0"/>
      <w:marBottom w:val="0"/>
      <w:divBdr>
        <w:top w:val="none" w:sz="0" w:space="0" w:color="auto"/>
        <w:left w:val="none" w:sz="0" w:space="0" w:color="auto"/>
        <w:bottom w:val="none" w:sz="0" w:space="0" w:color="auto"/>
        <w:right w:val="none" w:sz="0" w:space="0" w:color="auto"/>
      </w:divBdr>
    </w:div>
    <w:div w:id="762608581">
      <w:bodyDiv w:val="1"/>
      <w:marLeft w:val="0"/>
      <w:marRight w:val="0"/>
      <w:marTop w:val="0"/>
      <w:marBottom w:val="0"/>
      <w:divBdr>
        <w:top w:val="none" w:sz="0" w:space="0" w:color="auto"/>
        <w:left w:val="none" w:sz="0" w:space="0" w:color="auto"/>
        <w:bottom w:val="none" w:sz="0" w:space="0" w:color="auto"/>
        <w:right w:val="none" w:sz="0" w:space="0" w:color="auto"/>
      </w:divBdr>
    </w:div>
    <w:div w:id="879316730">
      <w:bodyDiv w:val="1"/>
      <w:marLeft w:val="0"/>
      <w:marRight w:val="0"/>
      <w:marTop w:val="0"/>
      <w:marBottom w:val="0"/>
      <w:divBdr>
        <w:top w:val="none" w:sz="0" w:space="0" w:color="auto"/>
        <w:left w:val="none" w:sz="0" w:space="0" w:color="auto"/>
        <w:bottom w:val="none" w:sz="0" w:space="0" w:color="auto"/>
        <w:right w:val="none" w:sz="0" w:space="0" w:color="auto"/>
      </w:divBdr>
    </w:div>
    <w:div w:id="1055003522">
      <w:bodyDiv w:val="1"/>
      <w:marLeft w:val="0"/>
      <w:marRight w:val="0"/>
      <w:marTop w:val="0"/>
      <w:marBottom w:val="0"/>
      <w:divBdr>
        <w:top w:val="none" w:sz="0" w:space="0" w:color="auto"/>
        <w:left w:val="none" w:sz="0" w:space="0" w:color="auto"/>
        <w:bottom w:val="none" w:sz="0" w:space="0" w:color="auto"/>
        <w:right w:val="none" w:sz="0" w:space="0" w:color="auto"/>
      </w:divBdr>
    </w:div>
    <w:div w:id="1096822679">
      <w:bodyDiv w:val="1"/>
      <w:marLeft w:val="0"/>
      <w:marRight w:val="0"/>
      <w:marTop w:val="0"/>
      <w:marBottom w:val="0"/>
      <w:divBdr>
        <w:top w:val="none" w:sz="0" w:space="0" w:color="auto"/>
        <w:left w:val="none" w:sz="0" w:space="0" w:color="auto"/>
        <w:bottom w:val="none" w:sz="0" w:space="0" w:color="auto"/>
        <w:right w:val="none" w:sz="0" w:space="0" w:color="auto"/>
      </w:divBdr>
    </w:div>
    <w:div w:id="1200050973">
      <w:bodyDiv w:val="1"/>
      <w:marLeft w:val="0"/>
      <w:marRight w:val="0"/>
      <w:marTop w:val="0"/>
      <w:marBottom w:val="0"/>
      <w:divBdr>
        <w:top w:val="none" w:sz="0" w:space="0" w:color="auto"/>
        <w:left w:val="none" w:sz="0" w:space="0" w:color="auto"/>
        <w:bottom w:val="none" w:sz="0" w:space="0" w:color="auto"/>
        <w:right w:val="none" w:sz="0" w:space="0" w:color="auto"/>
      </w:divBdr>
    </w:div>
    <w:div w:id="1538080387">
      <w:bodyDiv w:val="1"/>
      <w:marLeft w:val="0"/>
      <w:marRight w:val="0"/>
      <w:marTop w:val="0"/>
      <w:marBottom w:val="0"/>
      <w:divBdr>
        <w:top w:val="none" w:sz="0" w:space="0" w:color="auto"/>
        <w:left w:val="none" w:sz="0" w:space="0" w:color="auto"/>
        <w:bottom w:val="none" w:sz="0" w:space="0" w:color="auto"/>
        <w:right w:val="none" w:sz="0" w:space="0" w:color="auto"/>
      </w:divBdr>
    </w:div>
    <w:div w:id="1654136725">
      <w:bodyDiv w:val="1"/>
      <w:marLeft w:val="0"/>
      <w:marRight w:val="0"/>
      <w:marTop w:val="0"/>
      <w:marBottom w:val="0"/>
      <w:divBdr>
        <w:top w:val="none" w:sz="0" w:space="0" w:color="auto"/>
        <w:left w:val="none" w:sz="0" w:space="0" w:color="auto"/>
        <w:bottom w:val="none" w:sz="0" w:space="0" w:color="auto"/>
        <w:right w:val="none" w:sz="0" w:space="0" w:color="auto"/>
      </w:divBdr>
    </w:div>
    <w:div w:id="171141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pwiki.org/relationships/868" TargetMode="External"/><Relationship Id="rId13" Type="http://schemas.openxmlformats.org/officeDocument/2006/relationships/hyperlink" Target="https://aopwiki.org/relationships/868" TargetMode="External"/><Relationship Id="rId18" Type="http://schemas.openxmlformats.org/officeDocument/2006/relationships/hyperlink" Target="https://aopwiki.org/relationships/868" TargetMode="External"/><Relationship Id="rId26" Type="http://schemas.openxmlformats.org/officeDocument/2006/relationships/hyperlink" Target="https://aopwiki.org/relationships/1070" TargetMode="External"/><Relationship Id="rId3" Type="http://schemas.microsoft.com/office/2007/relationships/stylesWithEffects" Target="stylesWithEffects.xml"/><Relationship Id="rId21" Type="http://schemas.openxmlformats.org/officeDocument/2006/relationships/hyperlink" Target="https://aopwiki.org/relationships/865" TargetMode="External"/><Relationship Id="rId7" Type="http://schemas.openxmlformats.org/officeDocument/2006/relationships/hyperlink" Target="https://aopwiki.org/relationships/868" TargetMode="External"/><Relationship Id="rId12" Type="http://schemas.openxmlformats.org/officeDocument/2006/relationships/hyperlink" Target="https://aopwiki.org/relationships/868" TargetMode="External"/><Relationship Id="rId17" Type="http://schemas.openxmlformats.org/officeDocument/2006/relationships/hyperlink" Target="https://aopwiki.org/relationships/868" TargetMode="External"/><Relationship Id="rId25" Type="http://schemas.openxmlformats.org/officeDocument/2006/relationships/hyperlink" Target="https://aopwiki.org/relationships/1070" TargetMode="External"/><Relationship Id="rId2" Type="http://schemas.openxmlformats.org/officeDocument/2006/relationships/styles" Target="styles.xml"/><Relationship Id="rId16" Type="http://schemas.openxmlformats.org/officeDocument/2006/relationships/hyperlink" Target="https://aopwiki.org/relationships/868" TargetMode="External"/><Relationship Id="rId20" Type="http://schemas.openxmlformats.org/officeDocument/2006/relationships/hyperlink" Target="https://aopwiki.org/relationships/868" TargetMode="External"/><Relationship Id="rId29" Type="http://schemas.openxmlformats.org/officeDocument/2006/relationships/hyperlink" Target="https://aopwiki.org/relationships/868" TargetMode="External"/><Relationship Id="rId1" Type="http://schemas.openxmlformats.org/officeDocument/2006/relationships/numbering" Target="numbering.xml"/><Relationship Id="rId6" Type="http://schemas.openxmlformats.org/officeDocument/2006/relationships/hyperlink" Target="https://aopwiki.org/events/369" TargetMode="External"/><Relationship Id="rId11" Type="http://schemas.openxmlformats.org/officeDocument/2006/relationships/hyperlink" Target="https://aopwiki.org/relationships/868" TargetMode="External"/><Relationship Id="rId24" Type="http://schemas.openxmlformats.org/officeDocument/2006/relationships/hyperlink" Target="https://aopwiki.org/relationships/1070" TargetMode="External"/><Relationship Id="rId5" Type="http://schemas.openxmlformats.org/officeDocument/2006/relationships/webSettings" Target="webSettings.xml"/><Relationship Id="rId15" Type="http://schemas.openxmlformats.org/officeDocument/2006/relationships/hyperlink" Target="https://aopwiki.org/relationships/868" TargetMode="External"/><Relationship Id="rId23" Type="http://schemas.openxmlformats.org/officeDocument/2006/relationships/hyperlink" Target="https://aopwiki.org/relationships/865" TargetMode="External"/><Relationship Id="rId28" Type="http://schemas.openxmlformats.org/officeDocument/2006/relationships/image" Target="media/image1.tiff"/><Relationship Id="rId10" Type="http://schemas.openxmlformats.org/officeDocument/2006/relationships/hyperlink" Target="https://aopwiki.org/relationships/868" TargetMode="External"/><Relationship Id="rId19" Type="http://schemas.openxmlformats.org/officeDocument/2006/relationships/hyperlink" Target="https://aopwiki.org/relationships/86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opwiki.org/relationships/868" TargetMode="External"/><Relationship Id="rId14" Type="http://schemas.openxmlformats.org/officeDocument/2006/relationships/hyperlink" Target="https://aopwiki.org/relationships/868" TargetMode="External"/><Relationship Id="rId22" Type="http://schemas.openxmlformats.org/officeDocument/2006/relationships/hyperlink" Target="https://aopwiki.org/relationships/865" TargetMode="External"/><Relationship Id="rId27" Type="http://schemas.openxmlformats.org/officeDocument/2006/relationships/hyperlink" Target="https://aopwiki.org/events/850"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4297</Words>
  <Characters>24494</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Environment Canada</Company>
  <LinksUpToDate>false</LinksUpToDate>
  <CharactersWithSpaces>28734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Pagé-Larivière,Florence [NCR]</dc:creator>
  <cp:lastModifiedBy>Pagé-Larivière,Florence [NCR]</cp:lastModifiedBy>
  <cp:revision>4</cp:revision>
  <dcterms:created xsi:type="dcterms:W3CDTF">2018-05-31T14:44:00Z</dcterms:created>
  <dcterms:modified xsi:type="dcterms:W3CDTF">2018-05-31T19:44:00Z</dcterms:modified>
</cp:coreProperties>
</file>